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5" w:type="dxa"/>
        <w:tblInd w:w="-34" w:type="dxa"/>
        <w:tblLook w:val="04A0" w:firstRow="1" w:lastRow="0" w:firstColumn="1" w:lastColumn="0" w:noHBand="0" w:noVBand="1"/>
      </w:tblPr>
      <w:tblGrid>
        <w:gridCol w:w="9605"/>
      </w:tblGrid>
      <w:tr w:rsidR="00292709" w:rsidRPr="009E20D1" w:rsidTr="00583F63">
        <w:trPr>
          <w:trHeight w:val="777"/>
        </w:trPr>
        <w:tc>
          <w:tcPr>
            <w:tcW w:w="9605" w:type="dxa"/>
          </w:tcPr>
          <w:tbl>
            <w:tblPr>
              <w:tblpPr w:leftFromText="180" w:rightFromText="180" w:vertAnchor="text" w:tblpY="1"/>
              <w:tblOverlap w:val="never"/>
              <w:tblW w:w="9356" w:type="dxa"/>
              <w:tblLook w:val="0000" w:firstRow="0" w:lastRow="0" w:firstColumn="0" w:lastColumn="0" w:noHBand="0" w:noVBand="0"/>
            </w:tblPr>
            <w:tblGrid>
              <w:gridCol w:w="8789"/>
              <w:gridCol w:w="284"/>
              <w:gridCol w:w="283"/>
            </w:tblGrid>
            <w:tr w:rsidR="00552AF7" w:rsidRPr="003F5443" w:rsidTr="00D1614C">
              <w:tc>
                <w:tcPr>
                  <w:tcW w:w="8789" w:type="dxa"/>
                </w:tcPr>
                <w:p w:rsidR="00552AF7" w:rsidRPr="003F5443" w:rsidRDefault="00552AF7" w:rsidP="00552AF7">
                  <w:pPr>
                    <w:spacing w:after="0" w:line="240" w:lineRule="auto"/>
                    <w:jc w:val="center"/>
                    <w:rPr>
                      <w:rFonts w:ascii="Times New Roman" w:eastAsia="Times New Roman" w:hAnsi="Times New Roman" w:cs="Times New Roman"/>
                      <w:color w:val="000000"/>
                      <w:sz w:val="28"/>
                      <w:szCs w:val="28"/>
                      <w:lang w:eastAsia="ru-RU"/>
                    </w:rPr>
                  </w:pPr>
                  <w:r w:rsidRPr="003F5443">
                    <w:rPr>
                      <w:rFonts w:ascii="Times New Roman" w:eastAsia="Times New Roman" w:hAnsi="Times New Roman" w:cs="Times New Roman"/>
                      <w:noProof/>
                      <w:sz w:val="28"/>
                      <w:szCs w:val="28"/>
                      <w:lang w:eastAsia="ru-RU"/>
                    </w:rPr>
                    <w:drawing>
                      <wp:inline distT="0" distB="0" distL="0" distR="0">
                        <wp:extent cx="508635" cy="795020"/>
                        <wp:effectExtent l="19050" t="0" r="5715" b="0"/>
                        <wp:docPr id="3"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оярвский_район"/>
                                <pic:cNvPicPr>
                                  <a:picLocks noChangeAspect="1" noChangeArrowheads="1"/>
                                </pic:cNvPicPr>
                              </pic:nvPicPr>
                              <pic:blipFill>
                                <a:blip r:embed="rId7" cstate="print"/>
                                <a:srcRect/>
                                <a:stretch>
                                  <a:fillRect/>
                                </a:stretch>
                              </pic:blipFill>
                              <pic:spPr bwMode="auto">
                                <a:xfrm>
                                  <a:off x="0" y="0"/>
                                  <a:ext cx="508635" cy="795020"/>
                                </a:xfrm>
                                <a:prstGeom prst="rect">
                                  <a:avLst/>
                                </a:prstGeom>
                                <a:noFill/>
                                <a:ln w="9525">
                                  <a:noFill/>
                                  <a:miter lim="800000"/>
                                  <a:headEnd/>
                                  <a:tailEnd/>
                                </a:ln>
                              </pic:spPr>
                            </pic:pic>
                          </a:graphicData>
                        </a:graphic>
                      </wp:inline>
                    </w:drawing>
                  </w:r>
                </w:p>
              </w:tc>
              <w:tc>
                <w:tcPr>
                  <w:tcW w:w="284" w:type="dxa"/>
                </w:tcPr>
                <w:p w:rsidR="00552AF7" w:rsidRPr="003F5443" w:rsidRDefault="00552AF7" w:rsidP="00552AF7">
                  <w:pPr>
                    <w:spacing w:after="0" w:line="240" w:lineRule="auto"/>
                    <w:jc w:val="center"/>
                    <w:rPr>
                      <w:rFonts w:ascii="Times New Roman" w:eastAsia="Times New Roman" w:hAnsi="Times New Roman" w:cs="Times New Roman"/>
                      <w:b/>
                      <w:sz w:val="28"/>
                      <w:szCs w:val="28"/>
                      <w:lang w:eastAsia="ru-RU"/>
                    </w:rPr>
                  </w:pPr>
                </w:p>
              </w:tc>
              <w:tc>
                <w:tcPr>
                  <w:tcW w:w="283" w:type="dxa"/>
                </w:tcPr>
                <w:p w:rsidR="00552AF7" w:rsidRPr="003F5443" w:rsidRDefault="00552AF7" w:rsidP="00552AF7">
                  <w:pPr>
                    <w:spacing w:after="0" w:line="240" w:lineRule="auto"/>
                    <w:jc w:val="center"/>
                    <w:rPr>
                      <w:rFonts w:ascii="Times New Roman" w:eastAsia="Times New Roman" w:hAnsi="Times New Roman" w:cs="Times New Roman"/>
                      <w:sz w:val="28"/>
                      <w:szCs w:val="28"/>
                      <w:lang w:eastAsia="ru-RU"/>
                    </w:rPr>
                  </w:pPr>
                </w:p>
              </w:tc>
            </w:tr>
          </w:tbl>
          <w:p w:rsidR="00552AF7" w:rsidRPr="003F5443" w:rsidRDefault="00552AF7" w:rsidP="00552AF7">
            <w:pPr>
              <w:spacing w:after="0" w:line="240" w:lineRule="auto"/>
              <w:jc w:val="center"/>
              <w:rPr>
                <w:rFonts w:ascii="Times New Roman" w:eastAsia="Times New Roman" w:hAnsi="Times New Roman" w:cs="Times New Roman"/>
                <w:b/>
                <w:bCs/>
                <w:sz w:val="28"/>
                <w:szCs w:val="28"/>
                <w:lang w:eastAsia="ru-RU"/>
              </w:rPr>
            </w:pPr>
          </w:p>
          <w:p w:rsidR="00552AF7" w:rsidRPr="003F5443" w:rsidRDefault="00552AF7" w:rsidP="00552AF7">
            <w:pPr>
              <w:spacing w:after="0" w:line="240" w:lineRule="auto"/>
              <w:jc w:val="center"/>
              <w:rPr>
                <w:rFonts w:ascii="Times New Roman" w:eastAsia="Times New Roman" w:hAnsi="Times New Roman" w:cs="Times New Roman"/>
                <w:b/>
                <w:bCs/>
                <w:sz w:val="28"/>
                <w:szCs w:val="28"/>
                <w:lang w:eastAsia="ru-RU"/>
              </w:rPr>
            </w:pPr>
            <w:r w:rsidRPr="003F5443">
              <w:rPr>
                <w:rFonts w:ascii="Times New Roman" w:eastAsia="Times New Roman" w:hAnsi="Times New Roman" w:cs="Times New Roman"/>
                <w:b/>
                <w:bCs/>
                <w:sz w:val="28"/>
                <w:szCs w:val="28"/>
                <w:lang w:eastAsia="ru-RU"/>
              </w:rPr>
              <w:t>РОССИЙСКАЯ ФЕДЕРАЦИЯ</w:t>
            </w:r>
          </w:p>
          <w:p w:rsidR="00552AF7" w:rsidRPr="003F5443" w:rsidRDefault="00552AF7" w:rsidP="00552AF7">
            <w:pPr>
              <w:spacing w:after="0" w:line="240" w:lineRule="auto"/>
              <w:jc w:val="center"/>
              <w:rPr>
                <w:rFonts w:ascii="Times New Roman" w:eastAsia="Times New Roman" w:hAnsi="Times New Roman" w:cs="Times New Roman"/>
                <w:b/>
                <w:bCs/>
                <w:sz w:val="28"/>
                <w:szCs w:val="28"/>
                <w:lang w:eastAsia="ru-RU"/>
              </w:rPr>
            </w:pPr>
            <w:r w:rsidRPr="003F5443">
              <w:rPr>
                <w:rFonts w:ascii="Times New Roman" w:eastAsia="Times New Roman" w:hAnsi="Times New Roman" w:cs="Times New Roman"/>
                <w:b/>
                <w:bCs/>
                <w:sz w:val="28"/>
                <w:szCs w:val="28"/>
                <w:lang w:eastAsia="ru-RU"/>
              </w:rPr>
              <w:t xml:space="preserve">РЕСПУБЛИКА  КАРЕЛИЯ </w:t>
            </w:r>
          </w:p>
          <w:p w:rsidR="00552AF7" w:rsidRPr="003F5443" w:rsidRDefault="00552AF7" w:rsidP="00552AF7">
            <w:pPr>
              <w:spacing w:after="0" w:line="240" w:lineRule="auto"/>
              <w:jc w:val="center"/>
              <w:rPr>
                <w:rFonts w:ascii="Times New Roman" w:eastAsia="Times New Roman" w:hAnsi="Times New Roman" w:cs="Times New Roman"/>
                <w:b/>
                <w:bCs/>
                <w:sz w:val="28"/>
                <w:szCs w:val="28"/>
                <w:lang w:eastAsia="ru-RU"/>
              </w:rPr>
            </w:pPr>
          </w:p>
          <w:p w:rsidR="00552AF7" w:rsidRPr="003F5443" w:rsidRDefault="00552AF7" w:rsidP="00552AF7">
            <w:pPr>
              <w:spacing w:after="0" w:line="240" w:lineRule="auto"/>
              <w:jc w:val="center"/>
              <w:rPr>
                <w:rFonts w:ascii="Times New Roman" w:eastAsia="Times New Roman" w:hAnsi="Times New Roman" w:cs="Times New Roman"/>
                <w:b/>
                <w:bCs/>
                <w:sz w:val="28"/>
                <w:szCs w:val="28"/>
                <w:lang w:eastAsia="ru-RU"/>
              </w:rPr>
            </w:pPr>
            <w:r w:rsidRPr="003F5443">
              <w:rPr>
                <w:rFonts w:ascii="Times New Roman" w:eastAsia="Times New Roman" w:hAnsi="Times New Roman" w:cs="Times New Roman"/>
                <w:b/>
                <w:bCs/>
                <w:sz w:val="28"/>
                <w:szCs w:val="28"/>
                <w:lang w:eastAsia="ru-RU"/>
              </w:rPr>
              <w:t>СОВЕТ СУОЯРВСКОГО МУНИЦИПАЛЬНОГО ОКРУГА</w:t>
            </w:r>
          </w:p>
          <w:p w:rsidR="00552AF7" w:rsidRPr="003F5443" w:rsidRDefault="00552AF7" w:rsidP="00552AF7">
            <w:pPr>
              <w:spacing w:after="0" w:line="240" w:lineRule="auto"/>
              <w:jc w:val="center"/>
              <w:rPr>
                <w:rFonts w:ascii="Times New Roman" w:eastAsia="Times New Roman" w:hAnsi="Times New Roman" w:cs="Times New Roman"/>
                <w:bCs/>
                <w:sz w:val="28"/>
                <w:szCs w:val="28"/>
                <w:lang w:eastAsia="ru-RU"/>
              </w:rPr>
            </w:pPr>
          </w:p>
          <w:p w:rsidR="00552AF7" w:rsidRPr="003F5443" w:rsidRDefault="005B0C02" w:rsidP="00552AF7">
            <w:pPr>
              <w:tabs>
                <w:tab w:val="left" w:pos="1830"/>
                <w:tab w:val="left" w:pos="6450"/>
              </w:tab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en-US" w:eastAsia="ru-RU"/>
              </w:rPr>
              <w:t>XXVII</w:t>
            </w:r>
            <w:r w:rsidRPr="00C50B12">
              <w:rPr>
                <w:rFonts w:ascii="Times New Roman" w:eastAsia="Times New Roman" w:hAnsi="Times New Roman" w:cs="Times New Roman"/>
                <w:bCs/>
                <w:sz w:val="28"/>
                <w:szCs w:val="28"/>
                <w:lang w:eastAsia="ru-RU"/>
              </w:rPr>
              <w:t xml:space="preserve"> </w:t>
            </w:r>
            <w:r w:rsidR="00552AF7" w:rsidRPr="007E41F2">
              <w:rPr>
                <w:rFonts w:ascii="Times New Roman" w:eastAsia="Times New Roman" w:hAnsi="Times New Roman" w:cs="Times New Roman"/>
                <w:bCs/>
                <w:sz w:val="28"/>
                <w:szCs w:val="28"/>
                <w:lang w:eastAsia="ru-RU"/>
              </w:rPr>
              <w:t xml:space="preserve"> сессия</w:t>
            </w:r>
            <w:r w:rsidR="00552AF7" w:rsidRPr="003F5443">
              <w:rPr>
                <w:rFonts w:ascii="Times New Roman" w:eastAsia="Times New Roman" w:hAnsi="Times New Roman" w:cs="Times New Roman"/>
                <w:bCs/>
                <w:sz w:val="28"/>
                <w:szCs w:val="28"/>
                <w:lang w:eastAsia="ru-RU"/>
              </w:rPr>
              <w:t xml:space="preserve">                                                                                           </w:t>
            </w:r>
            <w:r w:rsidR="007A2D27" w:rsidRPr="003B2C01">
              <w:rPr>
                <w:rFonts w:ascii="Times New Roman" w:eastAsia="Times New Roman" w:hAnsi="Times New Roman" w:cs="Times New Roman"/>
                <w:bCs/>
                <w:sz w:val="28"/>
                <w:szCs w:val="28"/>
                <w:lang w:eastAsia="ru-RU"/>
              </w:rPr>
              <w:t xml:space="preserve"> </w:t>
            </w:r>
            <w:r w:rsidR="00552AF7" w:rsidRPr="003F5443">
              <w:rPr>
                <w:rFonts w:ascii="Times New Roman" w:eastAsia="Times New Roman" w:hAnsi="Times New Roman" w:cs="Times New Roman"/>
                <w:bCs/>
                <w:sz w:val="28"/>
                <w:szCs w:val="28"/>
                <w:lang w:eastAsia="ru-RU"/>
              </w:rPr>
              <w:t xml:space="preserve"> I  созыв</w:t>
            </w:r>
          </w:p>
          <w:p w:rsidR="00552AF7" w:rsidRPr="003F5443" w:rsidRDefault="00552AF7" w:rsidP="00552AF7">
            <w:pPr>
              <w:spacing w:after="0" w:line="240" w:lineRule="auto"/>
              <w:rPr>
                <w:rFonts w:ascii="Times New Roman" w:eastAsia="Times New Roman" w:hAnsi="Times New Roman" w:cs="Times New Roman"/>
                <w:bCs/>
                <w:sz w:val="28"/>
                <w:szCs w:val="28"/>
                <w:lang w:eastAsia="ru-RU"/>
              </w:rPr>
            </w:pPr>
            <w:r w:rsidRPr="003F5443">
              <w:rPr>
                <w:rFonts w:ascii="Times New Roman" w:eastAsia="Times New Roman" w:hAnsi="Times New Roman" w:cs="Times New Roman"/>
                <w:bCs/>
                <w:sz w:val="28"/>
                <w:szCs w:val="28"/>
                <w:lang w:eastAsia="ru-RU"/>
              </w:rPr>
              <w:t xml:space="preserve"> </w:t>
            </w:r>
          </w:p>
          <w:p w:rsidR="00552AF7" w:rsidRPr="003F5443" w:rsidRDefault="00552AF7" w:rsidP="00552AF7">
            <w:pPr>
              <w:spacing w:after="0" w:line="240" w:lineRule="auto"/>
              <w:jc w:val="center"/>
              <w:rPr>
                <w:rFonts w:ascii="Times New Roman" w:eastAsia="Times New Roman" w:hAnsi="Times New Roman" w:cs="Times New Roman"/>
                <w:b/>
                <w:bCs/>
                <w:sz w:val="28"/>
                <w:szCs w:val="28"/>
                <w:lang w:eastAsia="ru-RU"/>
              </w:rPr>
            </w:pPr>
            <w:r w:rsidRPr="003F5443">
              <w:rPr>
                <w:rFonts w:ascii="Times New Roman" w:eastAsia="Times New Roman" w:hAnsi="Times New Roman" w:cs="Times New Roman"/>
                <w:b/>
                <w:bCs/>
                <w:sz w:val="28"/>
                <w:szCs w:val="28"/>
                <w:lang w:eastAsia="ru-RU"/>
              </w:rPr>
              <w:t>РЕШЕНИЕ</w:t>
            </w:r>
          </w:p>
          <w:p w:rsidR="00552AF7" w:rsidRPr="003F5443" w:rsidRDefault="00552AF7" w:rsidP="00552AF7">
            <w:pPr>
              <w:spacing w:after="0" w:line="240" w:lineRule="auto"/>
              <w:rPr>
                <w:rFonts w:ascii="Times New Roman" w:eastAsia="Times New Roman" w:hAnsi="Times New Roman" w:cs="Times New Roman"/>
                <w:bCs/>
                <w:sz w:val="28"/>
                <w:szCs w:val="28"/>
                <w:lang w:eastAsia="ru-RU"/>
              </w:rPr>
            </w:pPr>
          </w:p>
          <w:p w:rsidR="00552AF7" w:rsidRPr="00451AF7" w:rsidRDefault="007A352D" w:rsidP="00552AF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15</w:t>
            </w:r>
            <w:r w:rsidR="007A2D27">
              <w:rPr>
                <w:rFonts w:ascii="Times New Roman" w:eastAsia="Times New Roman" w:hAnsi="Times New Roman" w:cs="Times New Roman"/>
                <w:bCs/>
                <w:sz w:val="28"/>
                <w:szCs w:val="28"/>
                <w:lang w:eastAsia="ru-RU"/>
              </w:rPr>
              <w:t>.</w:t>
            </w:r>
            <w:r w:rsidR="00E46150">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1</w:t>
            </w:r>
            <w:r w:rsidR="00552AF7" w:rsidRPr="003F5443">
              <w:rPr>
                <w:rFonts w:ascii="Times New Roman" w:eastAsia="Times New Roman" w:hAnsi="Times New Roman" w:cs="Times New Roman"/>
                <w:bCs/>
                <w:sz w:val="28"/>
                <w:szCs w:val="28"/>
                <w:lang w:eastAsia="ru-RU"/>
              </w:rPr>
              <w:t>.202</w:t>
            </w:r>
            <w:r w:rsidR="007C1471">
              <w:rPr>
                <w:rFonts w:ascii="Times New Roman" w:eastAsia="Times New Roman" w:hAnsi="Times New Roman" w:cs="Times New Roman"/>
                <w:bCs/>
                <w:sz w:val="28"/>
                <w:szCs w:val="28"/>
                <w:lang w:eastAsia="ru-RU"/>
              </w:rPr>
              <w:t>4</w:t>
            </w:r>
            <w:r w:rsidR="00552AF7" w:rsidRPr="003F5443">
              <w:rPr>
                <w:rFonts w:ascii="Times New Roman" w:eastAsia="Times New Roman" w:hAnsi="Times New Roman" w:cs="Times New Roman"/>
                <w:bCs/>
                <w:sz w:val="28"/>
                <w:szCs w:val="28"/>
                <w:lang w:eastAsia="ru-RU"/>
              </w:rPr>
              <w:t xml:space="preserve">                                                         </w:t>
            </w:r>
            <w:r w:rsidR="00451AF7">
              <w:rPr>
                <w:rFonts w:ascii="Times New Roman" w:eastAsia="Times New Roman" w:hAnsi="Times New Roman" w:cs="Times New Roman"/>
                <w:bCs/>
                <w:sz w:val="28"/>
                <w:szCs w:val="28"/>
                <w:lang w:eastAsia="ru-RU"/>
              </w:rPr>
              <w:t xml:space="preserve">    </w:t>
            </w:r>
            <w:r w:rsidR="00552AF7" w:rsidRPr="003F5443">
              <w:rPr>
                <w:rFonts w:ascii="Times New Roman" w:eastAsia="Times New Roman" w:hAnsi="Times New Roman" w:cs="Times New Roman"/>
                <w:bCs/>
                <w:sz w:val="28"/>
                <w:szCs w:val="28"/>
                <w:lang w:eastAsia="ru-RU"/>
              </w:rPr>
              <w:t xml:space="preserve">                                </w:t>
            </w:r>
            <w:r w:rsidR="005B0C02" w:rsidRPr="00C50B12">
              <w:rPr>
                <w:rFonts w:ascii="Times New Roman" w:eastAsia="Times New Roman" w:hAnsi="Times New Roman" w:cs="Times New Roman"/>
                <w:bCs/>
                <w:sz w:val="28"/>
                <w:szCs w:val="28"/>
                <w:lang w:eastAsia="ru-RU"/>
              </w:rPr>
              <w:t xml:space="preserve">      </w:t>
            </w:r>
            <w:r w:rsidR="00552AF7" w:rsidRPr="003F5443">
              <w:rPr>
                <w:rFonts w:ascii="Times New Roman" w:eastAsia="Times New Roman" w:hAnsi="Times New Roman" w:cs="Times New Roman"/>
                <w:bCs/>
                <w:sz w:val="28"/>
                <w:szCs w:val="28"/>
                <w:lang w:eastAsia="ru-RU"/>
              </w:rPr>
              <w:t xml:space="preserve"> </w:t>
            </w:r>
            <w:r w:rsidR="00451AF7">
              <w:rPr>
                <w:rFonts w:ascii="Times New Roman" w:eastAsia="Times New Roman" w:hAnsi="Times New Roman" w:cs="Times New Roman"/>
                <w:bCs/>
                <w:sz w:val="28"/>
                <w:szCs w:val="28"/>
                <w:lang w:eastAsia="ru-RU"/>
              </w:rPr>
              <w:t xml:space="preserve">   </w:t>
            </w:r>
            <w:r w:rsidR="00552AF7" w:rsidRPr="003F5443">
              <w:rPr>
                <w:rFonts w:ascii="Times New Roman" w:eastAsia="Times New Roman" w:hAnsi="Times New Roman" w:cs="Times New Roman"/>
                <w:bCs/>
                <w:sz w:val="28"/>
                <w:szCs w:val="28"/>
                <w:lang w:eastAsia="ru-RU"/>
              </w:rPr>
              <w:t xml:space="preserve">№ </w:t>
            </w:r>
            <w:r w:rsidR="00451AF7" w:rsidRPr="00451AF7">
              <w:rPr>
                <w:rFonts w:ascii="Times New Roman" w:eastAsia="Times New Roman" w:hAnsi="Times New Roman" w:cs="Times New Roman"/>
                <w:bCs/>
                <w:sz w:val="28"/>
                <w:szCs w:val="28"/>
                <w:lang w:eastAsia="ru-RU"/>
              </w:rPr>
              <w:t>30</w:t>
            </w:r>
            <w:r w:rsidR="00C35BF9">
              <w:rPr>
                <w:rFonts w:ascii="Times New Roman" w:eastAsia="Times New Roman" w:hAnsi="Times New Roman" w:cs="Times New Roman"/>
                <w:bCs/>
                <w:sz w:val="28"/>
                <w:szCs w:val="28"/>
                <w:lang w:eastAsia="ru-RU"/>
              </w:rPr>
              <w:t>9</w:t>
            </w:r>
          </w:p>
          <w:p w:rsidR="00552AF7" w:rsidRPr="00E46150" w:rsidRDefault="00552AF7" w:rsidP="00552AF7">
            <w:pPr>
              <w:rPr>
                <w:rFonts w:ascii="Times New Roman" w:eastAsia="Times New Roman" w:hAnsi="Times New Roman" w:cs="Times New Roman"/>
                <w:bCs/>
                <w:sz w:val="28"/>
                <w:szCs w:val="28"/>
                <w:lang w:eastAsia="ru-RU"/>
              </w:rPr>
            </w:pPr>
          </w:p>
          <w:p w:rsidR="00E46150" w:rsidRPr="007C1471" w:rsidRDefault="00E46150" w:rsidP="009F1594">
            <w:pPr>
              <w:spacing w:after="0" w:line="240" w:lineRule="auto"/>
              <w:jc w:val="center"/>
              <w:rPr>
                <w:rFonts w:ascii="Times New Roman" w:eastAsia="Times New Roman" w:hAnsi="Times New Roman" w:cs="Times New Roman"/>
                <w:b/>
                <w:bCs/>
                <w:sz w:val="28"/>
                <w:szCs w:val="28"/>
                <w:lang w:eastAsia="ru-RU"/>
              </w:rPr>
            </w:pPr>
            <w:r w:rsidRPr="007C1471">
              <w:rPr>
                <w:rFonts w:ascii="Times New Roman" w:eastAsia="Times New Roman" w:hAnsi="Times New Roman" w:cs="Times New Roman"/>
                <w:b/>
                <w:bCs/>
                <w:sz w:val="28"/>
                <w:szCs w:val="28"/>
                <w:lang w:eastAsia="ru-RU"/>
              </w:rPr>
              <w:t>Об инвестиционной деятельности на территории Суоярвского муниципального округа</w:t>
            </w:r>
            <w:r w:rsidR="00AD3F7B" w:rsidRPr="007C1471">
              <w:rPr>
                <w:rFonts w:ascii="Times New Roman" w:eastAsia="Times New Roman" w:hAnsi="Times New Roman" w:cs="Times New Roman"/>
                <w:b/>
                <w:bCs/>
                <w:sz w:val="28"/>
                <w:szCs w:val="28"/>
                <w:lang w:eastAsia="ru-RU"/>
              </w:rPr>
              <w:t xml:space="preserve"> в</w:t>
            </w:r>
            <w:r w:rsidRPr="007C1471">
              <w:rPr>
                <w:rFonts w:ascii="Times New Roman" w:eastAsia="Times New Roman" w:hAnsi="Times New Roman" w:cs="Times New Roman"/>
                <w:b/>
                <w:bCs/>
                <w:sz w:val="28"/>
                <w:szCs w:val="28"/>
                <w:lang w:eastAsia="ru-RU"/>
              </w:rPr>
              <w:t xml:space="preserve"> 202</w:t>
            </w:r>
            <w:r w:rsidR="007C1471">
              <w:rPr>
                <w:rFonts w:ascii="Times New Roman" w:eastAsia="Times New Roman" w:hAnsi="Times New Roman" w:cs="Times New Roman"/>
                <w:b/>
                <w:bCs/>
                <w:sz w:val="28"/>
                <w:szCs w:val="28"/>
                <w:lang w:eastAsia="ru-RU"/>
              </w:rPr>
              <w:t>4</w:t>
            </w:r>
            <w:r w:rsidRPr="007C1471">
              <w:rPr>
                <w:rFonts w:ascii="Times New Roman" w:eastAsia="Times New Roman" w:hAnsi="Times New Roman" w:cs="Times New Roman"/>
                <w:b/>
                <w:bCs/>
                <w:sz w:val="28"/>
                <w:szCs w:val="28"/>
                <w:lang w:eastAsia="ru-RU"/>
              </w:rPr>
              <w:t xml:space="preserve"> год</w:t>
            </w:r>
            <w:r w:rsidR="00AD3F7B" w:rsidRPr="007C1471">
              <w:rPr>
                <w:rFonts w:ascii="Times New Roman" w:eastAsia="Times New Roman" w:hAnsi="Times New Roman" w:cs="Times New Roman"/>
                <w:b/>
                <w:bCs/>
                <w:sz w:val="28"/>
                <w:szCs w:val="28"/>
                <w:lang w:eastAsia="ru-RU"/>
              </w:rPr>
              <w:t>у</w:t>
            </w:r>
          </w:p>
          <w:p w:rsidR="007A2D27" w:rsidRPr="00292709" w:rsidRDefault="007A2D27" w:rsidP="00E46150">
            <w:pPr>
              <w:rPr>
                <w:rFonts w:ascii="Times New Roman" w:hAnsi="Times New Roman" w:cs="Times New Roman"/>
                <w:b/>
                <w:sz w:val="24"/>
                <w:szCs w:val="24"/>
              </w:rPr>
            </w:pPr>
          </w:p>
        </w:tc>
      </w:tr>
    </w:tbl>
    <w:p w:rsidR="007A2D27" w:rsidRPr="00451AF7" w:rsidRDefault="00583F63" w:rsidP="00451AF7">
      <w:pPr>
        <w:pStyle w:val="ae"/>
        <w:tabs>
          <w:tab w:val="left" w:pos="903"/>
        </w:tabs>
        <w:ind w:firstLine="567"/>
        <w:jc w:val="both"/>
      </w:pPr>
      <w:r w:rsidRPr="00C93C51">
        <w:rPr>
          <w:bCs/>
          <w:sz w:val="28"/>
          <w:szCs w:val="28"/>
        </w:rPr>
        <w:t xml:space="preserve">В соответствии </w:t>
      </w:r>
      <w:r w:rsidR="007A2D27" w:rsidRPr="00C93C51">
        <w:rPr>
          <w:bCs/>
          <w:sz w:val="28"/>
          <w:szCs w:val="28"/>
          <w:lang w:val="en-US"/>
        </w:rPr>
        <w:t>c</w:t>
      </w:r>
      <w:r w:rsidR="007A2D27" w:rsidRPr="00C93C51">
        <w:rPr>
          <w:bCs/>
          <w:sz w:val="28"/>
          <w:szCs w:val="28"/>
        </w:rPr>
        <w:t xml:space="preserve"> Ф</w:t>
      </w:r>
      <w:r w:rsidRPr="00C93C51">
        <w:rPr>
          <w:bCs/>
          <w:sz w:val="28"/>
          <w:szCs w:val="28"/>
        </w:rPr>
        <w:t>едеральным законом от 6 октября 2003 г. № 131-ФЗ «Об общих принципах организации местного самоупра</w:t>
      </w:r>
      <w:r w:rsidR="007A2D27" w:rsidRPr="00C93C51">
        <w:rPr>
          <w:bCs/>
          <w:sz w:val="28"/>
          <w:szCs w:val="28"/>
        </w:rPr>
        <w:t>вления в Российской Федерации»,</w:t>
      </w:r>
      <w:r w:rsidRPr="00C93C51">
        <w:rPr>
          <w:bCs/>
          <w:sz w:val="28"/>
          <w:szCs w:val="28"/>
        </w:rPr>
        <w:t xml:space="preserve"> </w:t>
      </w:r>
      <w:r w:rsidR="00763A57">
        <w:rPr>
          <w:bCs/>
          <w:sz w:val="28"/>
          <w:szCs w:val="28"/>
        </w:rPr>
        <w:t>на основании Перспективного плана работы</w:t>
      </w:r>
      <w:r w:rsidRPr="00C93C51">
        <w:rPr>
          <w:bCs/>
          <w:sz w:val="28"/>
          <w:szCs w:val="28"/>
        </w:rPr>
        <w:t xml:space="preserve"> Совет</w:t>
      </w:r>
      <w:r w:rsidR="00763A57">
        <w:rPr>
          <w:bCs/>
          <w:sz w:val="28"/>
          <w:szCs w:val="28"/>
        </w:rPr>
        <w:t>а</w:t>
      </w:r>
      <w:r w:rsidRPr="00C93C51">
        <w:rPr>
          <w:bCs/>
          <w:sz w:val="28"/>
          <w:szCs w:val="28"/>
        </w:rPr>
        <w:t xml:space="preserve"> </w:t>
      </w:r>
      <w:r w:rsidR="00451AF7">
        <w:rPr>
          <w:bCs/>
          <w:sz w:val="28"/>
          <w:szCs w:val="28"/>
        </w:rPr>
        <w:t xml:space="preserve">Суоярвского муниципального округа </w:t>
      </w:r>
      <w:r w:rsidR="00763A57">
        <w:rPr>
          <w:bCs/>
          <w:sz w:val="28"/>
          <w:szCs w:val="28"/>
        </w:rPr>
        <w:t xml:space="preserve">на 2024 год, </w:t>
      </w:r>
      <w:r w:rsidR="00451AF7">
        <w:rPr>
          <w:bCs/>
          <w:sz w:val="28"/>
          <w:szCs w:val="28"/>
        </w:rPr>
        <w:t xml:space="preserve">заслушав информацию начальника отдела по развитию предпринимательства и инвестиционной политики администрации, </w:t>
      </w:r>
      <w:r w:rsidR="00763A57">
        <w:rPr>
          <w:bCs/>
          <w:sz w:val="28"/>
          <w:szCs w:val="28"/>
        </w:rPr>
        <w:t xml:space="preserve">Совет Суоярвского </w:t>
      </w:r>
      <w:r w:rsidRPr="00C93C51">
        <w:rPr>
          <w:bCs/>
          <w:sz w:val="28"/>
          <w:szCs w:val="28"/>
        </w:rPr>
        <w:t>муниципального округа РЕШИЛ:</w:t>
      </w:r>
    </w:p>
    <w:p w:rsidR="00873DB2" w:rsidRPr="00C93C51" w:rsidRDefault="00873DB2" w:rsidP="00C93C51">
      <w:pPr>
        <w:pStyle w:val="ad"/>
        <w:ind w:firstLine="567"/>
        <w:jc w:val="both"/>
        <w:rPr>
          <w:rFonts w:ascii="Times New Roman" w:hAnsi="Times New Roman" w:cs="Times New Roman"/>
          <w:sz w:val="28"/>
          <w:szCs w:val="28"/>
          <w:lang w:eastAsia="ru-RU"/>
        </w:rPr>
      </w:pPr>
      <w:r w:rsidRPr="00C93C51">
        <w:rPr>
          <w:rFonts w:ascii="Times New Roman" w:hAnsi="Times New Roman" w:cs="Times New Roman"/>
          <w:sz w:val="28"/>
          <w:szCs w:val="28"/>
          <w:lang w:eastAsia="ru-RU"/>
        </w:rPr>
        <w:t xml:space="preserve">1. </w:t>
      </w:r>
      <w:r w:rsidR="009A00BE">
        <w:rPr>
          <w:rFonts w:ascii="Times New Roman" w:hAnsi="Times New Roman" w:cs="Times New Roman"/>
          <w:sz w:val="28"/>
          <w:szCs w:val="28"/>
          <w:lang w:eastAsia="ru-RU"/>
        </w:rPr>
        <w:t>Информацию о</w:t>
      </w:r>
      <w:r w:rsidR="00AF0074" w:rsidRPr="00E46150">
        <w:rPr>
          <w:rFonts w:ascii="Times New Roman" w:eastAsia="Times New Roman" w:hAnsi="Times New Roman" w:cs="Times New Roman"/>
          <w:bCs/>
          <w:sz w:val="28"/>
          <w:szCs w:val="28"/>
          <w:lang w:eastAsia="ru-RU"/>
        </w:rPr>
        <w:t>б инвестиционной деятельности на территории</w:t>
      </w:r>
      <w:r w:rsidR="00AF0074">
        <w:rPr>
          <w:rFonts w:ascii="Times New Roman" w:eastAsia="Times New Roman" w:hAnsi="Times New Roman" w:cs="Times New Roman"/>
          <w:bCs/>
          <w:sz w:val="28"/>
          <w:szCs w:val="28"/>
          <w:lang w:eastAsia="ru-RU"/>
        </w:rPr>
        <w:t xml:space="preserve"> Суоярвского муниципального округа </w:t>
      </w:r>
      <w:r w:rsidR="00A143AB">
        <w:rPr>
          <w:rFonts w:ascii="Times New Roman" w:eastAsia="Times New Roman" w:hAnsi="Times New Roman" w:cs="Times New Roman"/>
          <w:bCs/>
          <w:sz w:val="28"/>
          <w:szCs w:val="28"/>
          <w:lang w:eastAsia="ru-RU"/>
        </w:rPr>
        <w:t xml:space="preserve">в </w:t>
      </w:r>
      <w:r w:rsidR="00AF0074">
        <w:rPr>
          <w:rFonts w:ascii="Times New Roman" w:eastAsia="Times New Roman" w:hAnsi="Times New Roman" w:cs="Times New Roman"/>
          <w:bCs/>
          <w:sz w:val="28"/>
          <w:szCs w:val="28"/>
          <w:lang w:eastAsia="ru-RU"/>
        </w:rPr>
        <w:t>202</w:t>
      </w:r>
      <w:r w:rsidR="007C1471">
        <w:rPr>
          <w:rFonts w:ascii="Times New Roman" w:eastAsia="Times New Roman" w:hAnsi="Times New Roman" w:cs="Times New Roman"/>
          <w:bCs/>
          <w:sz w:val="28"/>
          <w:szCs w:val="28"/>
          <w:lang w:eastAsia="ru-RU"/>
        </w:rPr>
        <w:t>4</w:t>
      </w:r>
      <w:r w:rsidR="00AF0074">
        <w:rPr>
          <w:rFonts w:ascii="Times New Roman" w:eastAsia="Times New Roman" w:hAnsi="Times New Roman" w:cs="Times New Roman"/>
          <w:bCs/>
          <w:sz w:val="28"/>
          <w:szCs w:val="28"/>
          <w:lang w:eastAsia="ru-RU"/>
        </w:rPr>
        <w:t xml:space="preserve"> год</w:t>
      </w:r>
      <w:r w:rsidR="00A143AB">
        <w:rPr>
          <w:rFonts w:ascii="Times New Roman" w:eastAsia="Times New Roman" w:hAnsi="Times New Roman" w:cs="Times New Roman"/>
          <w:bCs/>
          <w:sz w:val="28"/>
          <w:szCs w:val="28"/>
          <w:lang w:eastAsia="ru-RU"/>
        </w:rPr>
        <w:t>у</w:t>
      </w:r>
      <w:r w:rsidR="00AF0074" w:rsidRPr="00C93C51">
        <w:rPr>
          <w:rFonts w:ascii="Times New Roman" w:hAnsi="Times New Roman" w:cs="Times New Roman"/>
          <w:sz w:val="28"/>
          <w:szCs w:val="28"/>
          <w:lang w:eastAsia="ru-RU"/>
        </w:rPr>
        <w:t xml:space="preserve"> </w:t>
      </w:r>
      <w:r w:rsidRPr="00C93C51">
        <w:rPr>
          <w:rFonts w:ascii="Times New Roman" w:hAnsi="Times New Roman" w:cs="Times New Roman"/>
          <w:sz w:val="28"/>
          <w:szCs w:val="28"/>
          <w:lang w:eastAsia="ru-RU"/>
        </w:rPr>
        <w:t>принять к сведению</w:t>
      </w:r>
      <w:r w:rsidR="00763A57">
        <w:rPr>
          <w:rFonts w:ascii="Times New Roman" w:hAnsi="Times New Roman" w:cs="Times New Roman"/>
          <w:sz w:val="28"/>
          <w:szCs w:val="28"/>
          <w:lang w:eastAsia="ru-RU"/>
        </w:rPr>
        <w:t xml:space="preserve"> (приложение к решению)</w:t>
      </w:r>
      <w:r w:rsidRPr="00C93C51">
        <w:rPr>
          <w:rFonts w:ascii="Times New Roman" w:hAnsi="Times New Roman" w:cs="Times New Roman"/>
          <w:sz w:val="28"/>
          <w:szCs w:val="28"/>
          <w:lang w:eastAsia="ru-RU"/>
        </w:rPr>
        <w:t>.</w:t>
      </w:r>
    </w:p>
    <w:p w:rsidR="00873DB2" w:rsidRDefault="00873DB2" w:rsidP="00C93C51">
      <w:pPr>
        <w:pStyle w:val="ad"/>
        <w:ind w:firstLine="567"/>
        <w:jc w:val="both"/>
        <w:rPr>
          <w:rFonts w:ascii="Times New Roman" w:hAnsi="Times New Roman" w:cs="Times New Roman"/>
          <w:sz w:val="28"/>
          <w:szCs w:val="28"/>
          <w:lang w:eastAsia="ru-RU"/>
        </w:rPr>
      </w:pPr>
      <w:r w:rsidRPr="00C93C51">
        <w:rPr>
          <w:rFonts w:ascii="Times New Roman" w:hAnsi="Times New Roman" w:cs="Times New Roman"/>
          <w:sz w:val="28"/>
          <w:szCs w:val="28"/>
          <w:lang w:eastAsia="ru-RU"/>
        </w:rPr>
        <w:t xml:space="preserve">2. Органам местного самоуправления Суоярвского муниципального округа продолжить работу по улучшению </w:t>
      </w:r>
      <w:r w:rsidR="00AF0074">
        <w:rPr>
          <w:rFonts w:ascii="Times New Roman" w:hAnsi="Times New Roman" w:cs="Times New Roman"/>
          <w:sz w:val="28"/>
          <w:szCs w:val="28"/>
          <w:lang w:eastAsia="ru-RU"/>
        </w:rPr>
        <w:t>инвестиционного климата на территории Суоярвского муниципального округа</w:t>
      </w:r>
      <w:r w:rsidRPr="00C93C51">
        <w:rPr>
          <w:rFonts w:ascii="Times New Roman" w:hAnsi="Times New Roman" w:cs="Times New Roman"/>
          <w:sz w:val="28"/>
          <w:szCs w:val="28"/>
          <w:lang w:eastAsia="ru-RU"/>
        </w:rPr>
        <w:t>.</w:t>
      </w:r>
    </w:p>
    <w:p w:rsidR="00C50B12" w:rsidRPr="00C50B12" w:rsidRDefault="00C50B12" w:rsidP="00C50B12">
      <w:pPr>
        <w:pStyle w:val="ad"/>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 Н</w:t>
      </w:r>
      <w:r w:rsidRPr="00C50B12">
        <w:rPr>
          <w:rFonts w:ascii="Times New Roman" w:hAnsi="Times New Roman" w:cs="Times New Roman"/>
          <w:sz w:val="28"/>
          <w:szCs w:val="28"/>
          <w:lang w:eastAsia="ru-RU"/>
        </w:rPr>
        <w:t>астоящее решение разместить на официальном сайте Суоярвского муниципального округа в информационно-телекоммуникационной сети «Интернет»</w:t>
      </w:r>
    </w:p>
    <w:p w:rsidR="007A2D27" w:rsidRPr="007A2D27" w:rsidRDefault="00C50B12" w:rsidP="007A2D27">
      <w:pPr>
        <w:pStyle w:val="ad"/>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7A2D27">
        <w:rPr>
          <w:rFonts w:ascii="Times New Roman" w:hAnsi="Times New Roman" w:cs="Times New Roman"/>
          <w:sz w:val="28"/>
          <w:szCs w:val="28"/>
          <w:lang w:eastAsia="ru-RU"/>
        </w:rPr>
        <w:t xml:space="preserve">. </w:t>
      </w:r>
      <w:r w:rsidR="009F1594">
        <w:rPr>
          <w:rFonts w:ascii="Times New Roman" w:hAnsi="Times New Roman" w:cs="Times New Roman"/>
          <w:sz w:val="28"/>
          <w:szCs w:val="28"/>
          <w:lang w:eastAsia="ru-RU"/>
        </w:rPr>
        <w:t xml:space="preserve">  </w:t>
      </w:r>
      <w:r w:rsidR="007A2D27" w:rsidRPr="007A2D27">
        <w:rPr>
          <w:rFonts w:ascii="Times New Roman" w:hAnsi="Times New Roman" w:cs="Times New Roman"/>
          <w:sz w:val="28"/>
          <w:szCs w:val="28"/>
          <w:lang w:eastAsia="ru-RU"/>
        </w:rPr>
        <w:t>Настоящее решение вступает в силу с момента его принятия.</w:t>
      </w:r>
      <w:r w:rsidR="007A2D27">
        <w:rPr>
          <w:rFonts w:ascii="Times New Roman" w:hAnsi="Times New Roman" w:cs="Times New Roman"/>
          <w:sz w:val="28"/>
          <w:szCs w:val="28"/>
          <w:lang w:eastAsia="ru-RU"/>
        </w:rPr>
        <w:t xml:space="preserve"> </w:t>
      </w:r>
    </w:p>
    <w:p w:rsidR="007A2D27" w:rsidRPr="00C50B12" w:rsidRDefault="007A2D27" w:rsidP="00C50B12">
      <w:pPr>
        <w:pStyle w:val="ad"/>
        <w:ind w:firstLine="567"/>
        <w:jc w:val="both"/>
        <w:rPr>
          <w:rFonts w:ascii="Times New Roman" w:hAnsi="Times New Roman" w:cs="Times New Roman"/>
          <w:sz w:val="28"/>
          <w:szCs w:val="28"/>
          <w:lang w:eastAsia="ru-RU"/>
        </w:rPr>
      </w:pPr>
    </w:p>
    <w:p w:rsidR="006223A9" w:rsidRDefault="006223A9" w:rsidP="006223A9">
      <w:pPr>
        <w:shd w:val="clear" w:color="auto" w:fill="FFFFFF"/>
        <w:spacing w:after="0" w:line="240" w:lineRule="auto"/>
        <w:ind w:firstLine="360"/>
        <w:jc w:val="both"/>
        <w:textAlignment w:val="top"/>
        <w:rPr>
          <w:rFonts w:ascii="Times New Roman" w:eastAsia="Times New Roman" w:hAnsi="Times New Roman" w:cs="Times New Roman"/>
          <w:sz w:val="26"/>
          <w:szCs w:val="26"/>
          <w:lang w:eastAsia="ru-RU"/>
        </w:rPr>
      </w:pPr>
    </w:p>
    <w:p w:rsidR="007C1471" w:rsidRDefault="007C1471" w:rsidP="006223A9">
      <w:pPr>
        <w:shd w:val="clear" w:color="auto" w:fill="FFFFFF"/>
        <w:spacing w:after="0" w:line="240" w:lineRule="auto"/>
        <w:ind w:firstLine="360"/>
        <w:jc w:val="both"/>
        <w:textAlignment w:val="top"/>
        <w:rPr>
          <w:rFonts w:ascii="Times New Roman" w:eastAsia="Times New Roman" w:hAnsi="Times New Roman" w:cs="Times New Roman"/>
          <w:sz w:val="26"/>
          <w:szCs w:val="26"/>
          <w:lang w:eastAsia="ru-RU"/>
        </w:rPr>
      </w:pPr>
    </w:p>
    <w:p w:rsidR="006223A9" w:rsidRPr="007A2D27" w:rsidRDefault="006223A9" w:rsidP="007A2D27">
      <w:pPr>
        <w:tabs>
          <w:tab w:val="left" w:pos="709"/>
        </w:tabs>
        <w:suppressAutoHyphens/>
        <w:spacing w:after="0" w:line="240" w:lineRule="auto"/>
        <w:ind w:right="-30"/>
        <w:jc w:val="both"/>
        <w:rPr>
          <w:rFonts w:ascii="Times New Roman" w:eastAsia="Times New Roman" w:hAnsi="Times New Roman" w:cs="Times New Roman"/>
          <w:bCs/>
          <w:sz w:val="28"/>
          <w:szCs w:val="28"/>
          <w:lang w:eastAsia="ru-RU"/>
        </w:rPr>
      </w:pPr>
      <w:r w:rsidRPr="007A2D27">
        <w:rPr>
          <w:rFonts w:ascii="Times New Roman" w:eastAsia="Times New Roman" w:hAnsi="Times New Roman" w:cs="Times New Roman"/>
          <w:bCs/>
          <w:sz w:val="28"/>
          <w:szCs w:val="28"/>
          <w:lang w:eastAsia="ru-RU"/>
        </w:rPr>
        <w:t>Председатель Совета</w:t>
      </w:r>
    </w:p>
    <w:p w:rsidR="006223A9" w:rsidRPr="007A2D27" w:rsidRDefault="006223A9" w:rsidP="007A2D27">
      <w:pPr>
        <w:tabs>
          <w:tab w:val="left" w:pos="709"/>
        </w:tabs>
        <w:suppressAutoHyphens/>
        <w:spacing w:after="0" w:line="240" w:lineRule="auto"/>
        <w:ind w:right="-30"/>
        <w:jc w:val="both"/>
        <w:rPr>
          <w:rFonts w:ascii="Times New Roman" w:eastAsia="Times New Roman" w:hAnsi="Times New Roman" w:cs="Times New Roman"/>
          <w:bCs/>
          <w:sz w:val="28"/>
          <w:szCs w:val="28"/>
          <w:lang w:eastAsia="ru-RU"/>
        </w:rPr>
      </w:pPr>
      <w:r w:rsidRPr="007A2D27">
        <w:rPr>
          <w:rFonts w:ascii="Times New Roman" w:eastAsia="Times New Roman" w:hAnsi="Times New Roman" w:cs="Times New Roman"/>
          <w:bCs/>
          <w:sz w:val="28"/>
          <w:szCs w:val="28"/>
          <w:lang w:eastAsia="ru-RU"/>
        </w:rPr>
        <w:t>Суоярвского муниципального округа</w:t>
      </w:r>
      <w:r w:rsidR="007A2D27">
        <w:rPr>
          <w:rFonts w:ascii="Times New Roman" w:eastAsia="Times New Roman" w:hAnsi="Times New Roman" w:cs="Times New Roman"/>
          <w:bCs/>
          <w:sz w:val="28"/>
          <w:szCs w:val="28"/>
          <w:lang w:eastAsia="ru-RU"/>
        </w:rPr>
        <w:t xml:space="preserve">     </w:t>
      </w:r>
      <w:r w:rsidRPr="007A2D27">
        <w:rPr>
          <w:rFonts w:ascii="Times New Roman" w:eastAsia="Times New Roman" w:hAnsi="Times New Roman" w:cs="Times New Roman"/>
          <w:bCs/>
          <w:sz w:val="28"/>
          <w:szCs w:val="28"/>
          <w:lang w:eastAsia="ru-RU"/>
        </w:rPr>
        <w:tab/>
        <w:t xml:space="preserve">                 </w:t>
      </w:r>
      <w:r w:rsidR="007A2D27">
        <w:rPr>
          <w:rFonts w:ascii="Times New Roman" w:eastAsia="Times New Roman" w:hAnsi="Times New Roman" w:cs="Times New Roman"/>
          <w:bCs/>
          <w:sz w:val="28"/>
          <w:szCs w:val="28"/>
          <w:lang w:eastAsia="ru-RU"/>
        </w:rPr>
        <w:t xml:space="preserve">                     </w:t>
      </w:r>
      <w:r w:rsidRPr="007A2D27">
        <w:rPr>
          <w:rFonts w:ascii="Times New Roman" w:eastAsia="Times New Roman" w:hAnsi="Times New Roman" w:cs="Times New Roman"/>
          <w:bCs/>
          <w:sz w:val="28"/>
          <w:szCs w:val="28"/>
          <w:lang w:eastAsia="ru-RU"/>
        </w:rPr>
        <w:t>Н.В. Васенина</w:t>
      </w:r>
    </w:p>
    <w:p w:rsidR="006223A9" w:rsidRPr="007A2D27" w:rsidRDefault="006223A9" w:rsidP="007A2D27">
      <w:pPr>
        <w:tabs>
          <w:tab w:val="left" w:pos="709"/>
        </w:tabs>
        <w:suppressAutoHyphens/>
        <w:spacing w:after="0" w:line="240" w:lineRule="auto"/>
        <w:ind w:right="-30" w:firstLine="567"/>
        <w:jc w:val="both"/>
        <w:rPr>
          <w:rFonts w:ascii="Times New Roman" w:eastAsia="Times New Roman" w:hAnsi="Times New Roman" w:cs="Times New Roman"/>
          <w:bCs/>
          <w:sz w:val="28"/>
          <w:szCs w:val="28"/>
          <w:lang w:eastAsia="ru-RU"/>
        </w:rPr>
      </w:pPr>
    </w:p>
    <w:p w:rsidR="007A2D27" w:rsidRDefault="007A2D27" w:rsidP="007A2D27">
      <w:pPr>
        <w:tabs>
          <w:tab w:val="left" w:pos="709"/>
        </w:tabs>
        <w:suppressAutoHyphens/>
        <w:spacing w:after="0" w:line="240" w:lineRule="auto"/>
        <w:ind w:right="-30"/>
        <w:jc w:val="both"/>
        <w:rPr>
          <w:rFonts w:ascii="Times New Roman" w:eastAsia="Times New Roman" w:hAnsi="Times New Roman" w:cs="Times New Roman"/>
          <w:bCs/>
          <w:sz w:val="28"/>
          <w:szCs w:val="28"/>
          <w:lang w:eastAsia="ru-RU"/>
        </w:rPr>
      </w:pPr>
    </w:p>
    <w:p w:rsidR="00D1614C" w:rsidRDefault="00D1614C" w:rsidP="007A2D27">
      <w:pPr>
        <w:tabs>
          <w:tab w:val="left" w:pos="709"/>
        </w:tabs>
        <w:suppressAutoHyphens/>
        <w:spacing w:after="0" w:line="240" w:lineRule="auto"/>
        <w:ind w:right="-30"/>
        <w:jc w:val="both"/>
        <w:rPr>
          <w:rFonts w:ascii="Times New Roman" w:eastAsia="Times New Roman" w:hAnsi="Times New Roman" w:cs="Times New Roman"/>
          <w:bCs/>
          <w:sz w:val="28"/>
          <w:szCs w:val="28"/>
          <w:lang w:eastAsia="ru-RU"/>
        </w:rPr>
      </w:pPr>
    </w:p>
    <w:p w:rsidR="00D1614C" w:rsidRDefault="00D1614C" w:rsidP="007A2D27">
      <w:pPr>
        <w:tabs>
          <w:tab w:val="left" w:pos="709"/>
        </w:tabs>
        <w:suppressAutoHyphens/>
        <w:spacing w:after="0" w:line="240" w:lineRule="auto"/>
        <w:ind w:right="-30"/>
        <w:jc w:val="both"/>
        <w:rPr>
          <w:rFonts w:ascii="Times New Roman" w:eastAsia="Times New Roman" w:hAnsi="Times New Roman" w:cs="Times New Roman"/>
          <w:bCs/>
          <w:sz w:val="28"/>
          <w:szCs w:val="28"/>
          <w:lang w:eastAsia="ru-RU"/>
        </w:rPr>
      </w:pPr>
    </w:p>
    <w:p w:rsidR="00D1614C" w:rsidRDefault="00D1614C" w:rsidP="007A2D27">
      <w:pPr>
        <w:tabs>
          <w:tab w:val="left" w:pos="709"/>
        </w:tabs>
        <w:suppressAutoHyphens/>
        <w:spacing w:after="0" w:line="240" w:lineRule="auto"/>
        <w:ind w:right="-30"/>
        <w:jc w:val="both"/>
        <w:rPr>
          <w:rFonts w:ascii="Times New Roman" w:eastAsia="Times New Roman" w:hAnsi="Times New Roman" w:cs="Times New Roman"/>
          <w:bCs/>
          <w:sz w:val="28"/>
          <w:szCs w:val="28"/>
          <w:lang w:eastAsia="ru-RU"/>
        </w:rPr>
      </w:pPr>
    </w:p>
    <w:p w:rsidR="00D1614C" w:rsidRDefault="00D1614C" w:rsidP="007A2D27">
      <w:pPr>
        <w:tabs>
          <w:tab w:val="left" w:pos="709"/>
        </w:tabs>
        <w:suppressAutoHyphens/>
        <w:spacing w:after="0" w:line="240" w:lineRule="auto"/>
        <w:ind w:right="-30"/>
        <w:jc w:val="both"/>
        <w:rPr>
          <w:rFonts w:ascii="Times New Roman" w:eastAsia="Times New Roman" w:hAnsi="Times New Roman" w:cs="Times New Roman"/>
          <w:bCs/>
          <w:sz w:val="28"/>
          <w:szCs w:val="28"/>
          <w:lang w:eastAsia="ru-RU"/>
        </w:rPr>
      </w:pPr>
    </w:p>
    <w:p w:rsidR="00D1614C" w:rsidRDefault="00D1614C" w:rsidP="007A2D27">
      <w:pPr>
        <w:tabs>
          <w:tab w:val="left" w:pos="709"/>
        </w:tabs>
        <w:suppressAutoHyphens/>
        <w:spacing w:after="0" w:line="240" w:lineRule="auto"/>
        <w:ind w:right="-30"/>
        <w:jc w:val="both"/>
        <w:rPr>
          <w:rFonts w:ascii="Times New Roman" w:eastAsia="Times New Roman" w:hAnsi="Times New Roman" w:cs="Times New Roman"/>
          <w:bCs/>
          <w:sz w:val="28"/>
          <w:szCs w:val="28"/>
          <w:lang w:eastAsia="ru-RU"/>
        </w:rPr>
      </w:pPr>
    </w:p>
    <w:p w:rsidR="00D1614C" w:rsidRPr="00D1614C" w:rsidRDefault="00D1614C" w:rsidP="00451AF7">
      <w:pPr>
        <w:pStyle w:val="ad"/>
        <w:jc w:val="right"/>
        <w:rPr>
          <w:rFonts w:ascii="Times New Roman" w:hAnsi="Times New Roman" w:cs="Times New Roman"/>
          <w:sz w:val="20"/>
          <w:szCs w:val="20"/>
          <w:lang w:eastAsia="ru-RU"/>
        </w:rPr>
      </w:pPr>
      <w:r w:rsidRPr="00D1614C">
        <w:rPr>
          <w:rFonts w:ascii="Times New Roman" w:hAnsi="Times New Roman" w:cs="Times New Roman"/>
          <w:sz w:val="20"/>
          <w:szCs w:val="20"/>
          <w:lang w:eastAsia="ru-RU"/>
        </w:rPr>
        <w:lastRenderedPageBreak/>
        <w:t>Приложение к решению</w:t>
      </w:r>
    </w:p>
    <w:p w:rsidR="00D1614C" w:rsidRPr="00D1614C" w:rsidRDefault="00D1614C" w:rsidP="00D1614C">
      <w:pPr>
        <w:pStyle w:val="ad"/>
        <w:ind w:firstLine="567"/>
        <w:jc w:val="right"/>
        <w:rPr>
          <w:rFonts w:ascii="Times New Roman" w:hAnsi="Times New Roman" w:cs="Times New Roman"/>
          <w:sz w:val="20"/>
          <w:szCs w:val="20"/>
          <w:lang w:eastAsia="ru-RU"/>
        </w:rPr>
      </w:pPr>
      <w:r w:rsidRPr="00D1614C">
        <w:rPr>
          <w:rFonts w:ascii="Times New Roman" w:hAnsi="Times New Roman" w:cs="Times New Roman"/>
          <w:sz w:val="20"/>
          <w:szCs w:val="20"/>
          <w:lang w:eastAsia="ru-RU"/>
        </w:rPr>
        <w:t>Совета Суоярвского муниципального округа</w:t>
      </w:r>
    </w:p>
    <w:p w:rsidR="00D1614C" w:rsidRPr="00D1614C" w:rsidRDefault="00D1614C" w:rsidP="00D1614C">
      <w:pPr>
        <w:pStyle w:val="ad"/>
        <w:ind w:firstLine="567"/>
        <w:jc w:val="right"/>
        <w:rPr>
          <w:rFonts w:ascii="Times New Roman" w:hAnsi="Times New Roman" w:cs="Times New Roman"/>
          <w:sz w:val="20"/>
          <w:szCs w:val="20"/>
          <w:lang w:eastAsia="ru-RU"/>
        </w:rPr>
      </w:pPr>
      <w:r w:rsidRPr="00D1614C">
        <w:rPr>
          <w:rFonts w:ascii="Times New Roman" w:hAnsi="Times New Roman" w:cs="Times New Roman"/>
          <w:sz w:val="20"/>
          <w:szCs w:val="20"/>
          <w:lang w:eastAsia="ru-RU"/>
        </w:rPr>
        <w:t>от 15.11.2024 №</w:t>
      </w:r>
      <w:r w:rsidR="00451AF7">
        <w:rPr>
          <w:rFonts w:ascii="Times New Roman" w:hAnsi="Times New Roman" w:cs="Times New Roman"/>
          <w:sz w:val="20"/>
          <w:szCs w:val="20"/>
          <w:lang w:eastAsia="ru-RU"/>
        </w:rPr>
        <w:t xml:space="preserve"> 30</w:t>
      </w:r>
      <w:r w:rsidR="00C35BF9">
        <w:rPr>
          <w:rFonts w:ascii="Times New Roman" w:hAnsi="Times New Roman" w:cs="Times New Roman"/>
          <w:sz w:val="20"/>
          <w:szCs w:val="20"/>
          <w:lang w:eastAsia="ru-RU"/>
        </w:rPr>
        <w:t>9</w:t>
      </w:r>
      <w:bookmarkStart w:id="0" w:name="_GoBack"/>
      <w:bookmarkEnd w:id="0"/>
    </w:p>
    <w:p w:rsidR="00D1614C" w:rsidRDefault="00D1614C" w:rsidP="00D1614C">
      <w:pPr>
        <w:jc w:val="center"/>
        <w:rPr>
          <w:b/>
          <w:szCs w:val="28"/>
        </w:rPr>
      </w:pPr>
    </w:p>
    <w:p w:rsidR="00D1614C" w:rsidRPr="00D1614C" w:rsidRDefault="00D1614C" w:rsidP="00D1614C">
      <w:pPr>
        <w:pStyle w:val="ad"/>
        <w:ind w:firstLine="567"/>
        <w:jc w:val="center"/>
        <w:rPr>
          <w:rFonts w:ascii="Times New Roman" w:hAnsi="Times New Roman" w:cs="Times New Roman"/>
          <w:b/>
          <w:sz w:val="28"/>
          <w:szCs w:val="28"/>
          <w:lang w:eastAsia="ru-RU"/>
        </w:rPr>
      </w:pPr>
      <w:r w:rsidRPr="00D1614C">
        <w:rPr>
          <w:rFonts w:ascii="Times New Roman" w:hAnsi="Times New Roman" w:cs="Times New Roman"/>
          <w:b/>
          <w:sz w:val="28"/>
          <w:szCs w:val="28"/>
          <w:lang w:eastAsia="ru-RU"/>
        </w:rPr>
        <w:t>Об инвестиционной деятельности на территории Суоярвского муниципального округа в 2024 году</w:t>
      </w:r>
    </w:p>
    <w:p w:rsidR="00D1614C" w:rsidRPr="00D1614C" w:rsidRDefault="00D1614C" w:rsidP="00D1614C">
      <w:pPr>
        <w:pStyle w:val="ad"/>
        <w:ind w:firstLine="567"/>
        <w:jc w:val="both"/>
        <w:rPr>
          <w:rFonts w:ascii="Times New Roman" w:hAnsi="Times New Roman" w:cs="Times New Roman"/>
          <w:sz w:val="28"/>
          <w:szCs w:val="28"/>
          <w:lang w:eastAsia="ru-RU"/>
        </w:rPr>
      </w:pP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 xml:space="preserve">Привлечение инвестиций по-прежнему остается одной из ключевых задач деятельности администрации Суоярвского муниципального округа, направленной на планомерное развитие экономики и улучшение качества жизни жителей Суоярвского муниципального округа. </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Приоритетом в этом направлении является создание максимально комфортных условий для ведения бизнеса.</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 xml:space="preserve">Объем инвестиций по крупным и средним предприятиям по итогам 9 месяцев 2024 года составил 410  000 тыс. рублей, за аналогичный период 2023 года привлечено было 473 116 тыс. руб.,  что составляет 86,6% относительно аналогичного периода прошлого года.  </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Удельный вес муниципального округа в общем объеме инвестиций в основной капитал республики (по кругу крупных и средних организаций) за 9 месяцев 2024 года составил 0,6% (за аналогичный период 2023 года – 0,9%).</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По итогам 9 месяцев 2024 года 81,3% объема инвестиций обеспечено за счет бюджетных средств.</w:t>
      </w:r>
    </w:p>
    <w:p w:rsidR="00D1614C" w:rsidRPr="00D1614C" w:rsidRDefault="00D1614C" w:rsidP="00D1614C">
      <w:pPr>
        <w:pStyle w:val="ad"/>
        <w:ind w:firstLine="567"/>
        <w:jc w:val="center"/>
        <w:rPr>
          <w:rFonts w:ascii="Times New Roman" w:hAnsi="Times New Roman" w:cs="Times New Roman"/>
          <w:b/>
          <w:sz w:val="28"/>
          <w:szCs w:val="28"/>
          <w:lang w:eastAsia="ru-RU"/>
        </w:rPr>
      </w:pPr>
      <w:r w:rsidRPr="00D1614C">
        <w:rPr>
          <w:rFonts w:ascii="Times New Roman" w:hAnsi="Times New Roman" w:cs="Times New Roman"/>
          <w:b/>
          <w:sz w:val="28"/>
          <w:szCs w:val="28"/>
          <w:lang w:eastAsia="ru-RU"/>
        </w:rPr>
        <w:t>Табл. 1.  Структура инвестиций в основной капитал</w:t>
      </w:r>
    </w:p>
    <w:p w:rsidR="00D1614C" w:rsidRPr="00D1614C" w:rsidRDefault="00D1614C" w:rsidP="00D1614C">
      <w:pPr>
        <w:pStyle w:val="ad"/>
        <w:ind w:firstLine="567"/>
        <w:jc w:val="center"/>
        <w:rPr>
          <w:rFonts w:ascii="Times New Roman" w:hAnsi="Times New Roman" w:cs="Times New Roman"/>
          <w:b/>
          <w:sz w:val="28"/>
          <w:szCs w:val="28"/>
          <w:lang w:eastAsia="ru-RU"/>
        </w:rPr>
      </w:pPr>
      <w:r w:rsidRPr="00D1614C">
        <w:rPr>
          <w:rFonts w:ascii="Times New Roman" w:hAnsi="Times New Roman" w:cs="Times New Roman"/>
          <w:b/>
          <w:sz w:val="28"/>
          <w:szCs w:val="28"/>
          <w:lang w:eastAsia="ru-RU"/>
        </w:rPr>
        <w:t>по источникам финансирования</w:t>
      </w:r>
    </w:p>
    <w:p w:rsidR="00D1614C" w:rsidRPr="00D1614C" w:rsidRDefault="00D1614C" w:rsidP="00D1614C">
      <w:pPr>
        <w:pStyle w:val="ad"/>
        <w:ind w:firstLine="567"/>
        <w:jc w:val="both"/>
        <w:rPr>
          <w:rFonts w:ascii="Times New Roman" w:hAnsi="Times New Roman" w:cs="Times New Roman"/>
          <w:sz w:val="28"/>
          <w:szCs w:val="28"/>
          <w:lang w:eastAsia="ru-RU"/>
        </w:rPr>
      </w:pPr>
    </w:p>
    <w:tbl>
      <w:tblPr>
        <w:tblStyle w:val="af3"/>
        <w:tblW w:w="0" w:type="auto"/>
        <w:tblInd w:w="250" w:type="dxa"/>
        <w:tblLook w:val="04A0" w:firstRow="1" w:lastRow="0" w:firstColumn="1" w:lastColumn="0" w:noHBand="0" w:noVBand="1"/>
      </w:tblPr>
      <w:tblGrid>
        <w:gridCol w:w="2996"/>
        <w:gridCol w:w="3234"/>
        <w:gridCol w:w="2865"/>
      </w:tblGrid>
      <w:tr w:rsidR="00D1614C" w:rsidRPr="00D1614C" w:rsidTr="004A02AC">
        <w:tc>
          <w:tcPr>
            <w:tcW w:w="3129" w:type="dxa"/>
          </w:tcPr>
          <w:p w:rsidR="00D1614C" w:rsidRPr="00D1614C" w:rsidRDefault="00D1614C" w:rsidP="00D1614C">
            <w:pPr>
              <w:pStyle w:val="ad"/>
              <w:ind w:firstLine="567"/>
              <w:jc w:val="both"/>
              <w:rPr>
                <w:rFonts w:eastAsiaTheme="minorHAnsi"/>
                <w:sz w:val="28"/>
                <w:szCs w:val="28"/>
              </w:rPr>
            </w:pPr>
            <w:r w:rsidRPr="00D1614C">
              <w:rPr>
                <w:rFonts w:eastAsiaTheme="minorHAnsi"/>
                <w:sz w:val="28"/>
                <w:szCs w:val="28"/>
              </w:rPr>
              <w:t>Собственные средства</w:t>
            </w:r>
          </w:p>
        </w:tc>
        <w:tc>
          <w:tcPr>
            <w:tcW w:w="3379" w:type="dxa"/>
          </w:tcPr>
          <w:p w:rsidR="00D1614C" w:rsidRPr="00D1614C" w:rsidRDefault="00D1614C" w:rsidP="00D1614C">
            <w:pPr>
              <w:pStyle w:val="ad"/>
              <w:ind w:firstLine="567"/>
              <w:jc w:val="both"/>
              <w:rPr>
                <w:rFonts w:eastAsiaTheme="minorHAnsi"/>
                <w:sz w:val="28"/>
                <w:szCs w:val="28"/>
              </w:rPr>
            </w:pPr>
            <w:r w:rsidRPr="00D1614C">
              <w:rPr>
                <w:rFonts w:eastAsiaTheme="minorHAnsi"/>
                <w:sz w:val="28"/>
                <w:szCs w:val="28"/>
              </w:rPr>
              <w:t>Привлеченные средства</w:t>
            </w:r>
          </w:p>
        </w:tc>
        <w:tc>
          <w:tcPr>
            <w:tcW w:w="3131" w:type="dxa"/>
          </w:tcPr>
          <w:p w:rsidR="00D1614C" w:rsidRPr="00D1614C" w:rsidRDefault="00D1614C" w:rsidP="00D1614C">
            <w:pPr>
              <w:pStyle w:val="ad"/>
              <w:ind w:firstLine="567"/>
              <w:jc w:val="both"/>
              <w:rPr>
                <w:rFonts w:eastAsiaTheme="minorHAnsi"/>
                <w:sz w:val="28"/>
                <w:szCs w:val="28"/>
              </w:rPr>
            </w:pPr>
            <w:r w:rsidRPr="00D1614C">
              <w:rPr>
                <w:rFonts w:eastAsiaTheme="minorHAnsi"/>
                <w:sz w:val="28"/>
                <w:szCs w:val="28"/>
              </w:rPr>
              <w:t>Из них бюджетные средства</w:t>
            </w:r>
          </w:p>
        </w:tc>
      </w:tr>
      <w:tr w:rsidR="00D1614C" w:rsidRPr="00D1614C" w:rsidTr="004A02AC">
        <w:tc>
          <w:tcPr>
            <w:tcW w:w="9639" w:type="dxa"/>
            <w:gridSpan w:val="3"/>
          </w:tcPr>
          <w:p w:rsidR="00D1614C" w:rsidRPr="00D1614C" w:rsidRDefault="00D1614C" w:rsidP="00D1614C">
            <w:pPr>
              <w:pStyle w:val="ad"/>
              <w:ind w:firstLine="567"/>
              <w:jc w:val="both"/>
              <w:rPr>
                <w:rFonts w:eastAsiaTheme="minorHAnsi"/>
                <w:sz w:val="28"/>
                <w:szCs w:val="28"/>
              </w:rPr>
            </w:pPr>
            <w:r w:rsidRPr="00D1614C">
              <w:rPr>
                <w:rFonts w:eastAsiaTheme="minorHAnsi"/>
                <w:sz w:val="28"/>
                <w:szCs w:val="28"/>
              </w:rPr>
              <w:t>тысяч рублей</w:t>
            </w:r>
          </w:p>
        </w:tc>
      </w:tr>
      <w:tr w:rsidR="00D1614C" w:rsidRPr="00D1614C" w:rsidTr="004A02AC">
        <w:tc>
          <w:tcPr>
            <w:tcW w:w="3129" w:type="dxa"/>
          </w:tcPr>
          <w:p w:rsidR="00D1614C" w:rsidRPr="00D1614C" w:rsidRDefault="00D1614C" w:rsidP="00D1614C">
            <w:pPr>
              <w:pStyle w:val="ad"/>
              <w:ind w:firstLine="567"/>
              <w:jc w:val="both"/>
              <w:rPr>
                <w:rFonts w:eastAsiaTheme="minorHAnsi"/>
                <w:sz w:val="28"/>
                <w:szCs w:val="28"/>
              </w:rPr>
            </w:pPr>
            <w:r w:rsidRPr="00D1614C">
              <w:rPr>
                <w:rFonts w:eastAsiaTheme="minorHAnsi"/>
                <w:sz w:val="28"/>
                <w:szCs w:val="28"/>
              </w:rPr>
              <w:t>76 488,0</w:t>
            </w:r>
          </w:p>
        </w:tc>
        <w:tc>
          <w:tcPr>
            <w:tcW w:w="3379" w:type="dxa"/>
          </w:tcPr>
          <w:p w:rsidR="00D1614C" w:rsidRPr="00D1614C" w:rsidRDefault="00D1614C" w:rsidP="00D1614C">
            <w:pPr>
              <w:pStyle w:val="ad"/>
              <w:ind w:firstLine="567"/>
              <w:jc w:val="both"/>
              <w:rPr>
                <w:rFonts w:eastAsiaTheme="minorHAnsi"/>
                <w:sz w:val="28"/>
                <w:szCs w:val="28"/>
              </w:rPr>
            </w:pPr>
            <w:r w:rsidRPr="00D1614C">
              <w:rPr>
                <w:rFonts w:eastAsiaTheme="minorHAnsi"/>
                <w:sz w:val="28"/>
                <w:szCs w:val="28"/>
              </w:rPr>
              <w:t>333 512,0</w:t>
            </w:r>
          </w:p>
        </w:tc>
        <w:tc>
          <w:tcPr>
            <w:tcW w:w="3131" w:type="dxa"/>
          </w:tcPr>
          <w:p w:rsidR="00D1614C" w:rsidRPr="00D1614C" w:rsidRDefault="00D1614C" w:rsidP="00D1614C">
            <w:pPr>
              <w:pStyle w:val="ad"/>
              <w:ind w:firstLine="567"/>
              <w:jc w:val="both"/>
              <w:rPr>
                <w:rFonts w:eastAsiaTheme="minorHAnsi"/>
                <w:sz w:val="28"/>
                <w:szCs w:val="28"/>
              </w:rPr>
            </w:pPr>
            <w:r w:rsidRPr="00D1614C">
              <w:rPr>
                <w:rFonts w:eastAsiaTheme="minorHAnsi"/>
                <w:sz w:val="28"/>
                <w:szCs w:val="28"/>
              </w:rPr>
              <w:t>333 512,0</w:t>
            </w:r>
          </w:p>
        </w:tc>
      </w:tr>
    </w:tbl>
    <w:p w:rsidR="00D1614C" w:rsidRPr="00D1614C" w:rsidRDefault="00D1614C" w:rsidP="00D1614C">
      <w:pPr>
        <w:pStyle w:val="ad"/>
        <w:ind w:firstLine="567"/>
        <w:jc w:val="both"/>
        <w:rPr>
          <w:rFonts w:ascii="Times New Roman" w:hAnsi="Times New Roman" w:cs="Times New Roman"/>
          <w:sz w:val="28"/>
          <w:szCs w:val="28"/>
          <w:lang w:eastAsia="ru-RU"/>
        </w:rPr>
      </w:pP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Наибольшая доля инвестиционных вложений округа приходится на образование 65,8% (192,5 млн. руб.), деятельность в области культуры, спорта, организаций досуга и обрабатывающую промышленность.</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По состоянию на 01 октября 2024 года освоение средств субсидий из средств федерального и регионального бюджетов в 2024 году следующее:</w:t>
      </w:r>
    </w:p>
    <w:p w:rsidR="00D1614C" w:rsidRPr="00D1614C" w:rsidRDefault="00D1614C" w:rsidP="00D1614C">
      <w:pPr>
        <w:pStyle w:val="ad"/>
        <w:ind w:firstLine="567"/>
        <w:jc w:val="both"/>
        <w:rPr>
          <w:rFonts w:ascii="Times New Roman" w:hAnsi="Times New Roman" w:cs="Times New Roman"/>
          <w:sz w:val="28"/>
          <w:szCs w:val="28"/>
          <w:lang w:eastAsia="ru-RU"/>
        </w:rPr>
      </w:pPr>
    </w:p>
    <w:p w:rsidR="00D1614C" w:rsidRPr="00D1614C" w:rsidRDefault="00D1614C" w:rsidP="00D1614C">
      <w:pPr>
        <w:pStyle w:val="ad"/>
        <w:ind w:firstLine="567"/>
        <w:rPr>
          <w:rFonts w:ascii="Times New Roman" w:hAnsi="Times New Roman" w:cs="Times New Roman"/>
          <w:b/>
          <w:sz w:val="28"/>
          <w:szCs w:val="28"/>
          <w:lang w:eastAsia="ru-RU"/>
        </w:rPr>
      </w:pPr>
      <w:r w:rsidRPr="00D1614C">
        <w:rPr>
          <w:rFonts w:ascii="Times New Roman" w:hAnsi="Times New Roman" w:cs="Times New Roman"/>
          <w:b/>
          <w:sz w:val="28"/>
          <w:szCs w:val="28"/>
          <w:lang w:eastAsia="ru-RU"/>
        </w:rPr>
        <w:t>1. Модернизация школьных систем образования (средства сверх объемов, установленных соглашением о предоставлении субсидии из федерального бюджета) выделено:</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 МОУ Найстенъярвская СОШ  на текущий ремонт здания – 3 654 702,72 руб.</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 МОУ «Поросозерская СОШ» (п. Поросозеро, ул. Больничная, 14а) на текущий ремонт здания – 4 273 033,05 руб.</w:t>
      </w:r>
    </w:p>
    <w:p w:rsidR="00D1614C" w:rsidRPr="00D1614C" w:rsidRDefault="00D1614C" w:rsidP="00D1614C">
      <w:pPr>
        <w:pStyle w:val="ad"/>
        <w:ind w:firstLine="567"/>
        <w:jc w:val="both"/>
        <w:rPr>
          <w:rFonts w:ascii="Times New Roman" w:hAnsi="Times New Roman" w:cs="Times New Roman"/>
          <w:b/>
          <w:sz w:val="28"/>
          <w:szCs w:val="28"/>
          <w:lang w:eastAsia="ru-RU"/>
        </w:rPr>
      </w:pPr>
      <w:r w:rsidRPr="00D1614C">
        <w:rPr>
          <w:rFonts w:ascii="Times New Roman" w:hAnsi="Times New Roman" w:cs="Times New Roman"/>
          <w:b/>
          <w:sz w:val="28"/>
          <w:szCs w:val="28"/>
          <w:lang w:eastAsia="ru-RU"/>
        </w:rPr>
        <w:t>2. Субсидия на государственную поддержку отрасли культуры (реконструкция и (или) капитальный ремонт региональных и муниципальных детских школ искусств по видам искусств) выделено:</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 xml:space="preserve"> - МОУ ДО «Детская школа искусств» (г. Суоярви, ул. Победы, 6) на капитальный ремонт здания  -  91 785234,8  руб.</w:t>
      </w:r>
    </w:p>
    <w:p w:rsidR="00D1614C" w:rsidRPr="00D1614C" w:rsidRDefault="00D1614C" w:rsidP="00D1614C">
      <w:pPr>
        <w:pStyle w:val="ad"/>
        <w:ind w:firstLine="567"/>
        <w:jc w:val="both"/>
        <w:rPr>
          <w:rFonts w:ascii="Times New Roman" w:hAnsi="Times New Roman" w:cs="Times New Roman"/>
          <w:b/>
          <w:sz w:val="28"/>
          <w:szCs w:val="28"/>
          <w:lang w:eastAsia="ru-RU"/>
        </w:rPr>
      </w:pPr>
      <w:r w:rsidRPr="00D1614C">
        <w:rPr>
          <w:rFonts w:ascii="Times New Roman" w:hAnsi="Times New Roman" w:cs="Times New Roman"/>
          <w:b/>
          <w:sz w:val="28"/>
          <w:szCs w:val="28"/>
          <w:lang w:eastAsia="ru-RU"/>
        </w:rPr>
        <w:lastRenderedPageBreak/>
        <w:t>3.</w:t>
      </w:r>
      <w:r>
        <w:rPr>
          <w:rFonts w:ascii="Times New Roman" w:hAnsi="Times New Roman" w:cs="Times New Roman"/>
          <w:b/>
          <w:sz w:val="28"/>
          <w:szCs w:val="28"/>
          <w:lang w:eastAsia="ru-RU"/>
        </w:rPr>
        <w:t xml:space="preserve"> </w:t>
      </w:r>
      <w:r w:rsidRPr="00D1614C">
        <w:rPr>
          <w:rFonts w:ascii="Times New Roman" w:hAnsi="Times New Roman" w:cs="Times New Roman"/>
          <w:b/>
          <w:sz w:val="28"/>
          <w:szCs w:val="28"/>
          <w:lang w:eastAsia="ru-RU"/>
        </w:rPr>
        <w:t>Субсидия  бюджету Суоярвского муниципального округа из бюджета Республики Карелия на реализацию мероприятий по обеспечению надлежащих условий для обучения и пребывания детей в муниципальных образовательных организациях:</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 МОУ «Суоярвская СОШ»  на изготовление и монтаж жалюзи в здании новой школы, расположенной по адресу: г. Суоярви, ул. Победы, 40а - 1 606 435,00 руб.</w:t>
      </w:r>
    </w:p>
    <w:p w:rsidR="00D1614C" w:rsidRPr="00D1614C" w:rsidRDefault="00D1614C" w:rsidP="00D1614C">
      <w:pPr>
        <w:pStyle w:val="ad"/>
        <w:ind w:firstLine="567"/>
        <w:jc w:val="both"/>
        <w:rPr>
          <w:rFonts w:ascii="Times New Roman" w:hAnsi="Times New Roman" w:cs="Times New Roman"/>
          <w:b/>
          <w:sz w:val="28"/>
          <w:szCs w:val="28"/>
          <w:lang w:eastAsia="ru-RU"/>
        </w:rPr>
      </w:pPr>
      <w:r w:rsidRPr="00D1614C">
        <w:rPr>
          <w:rFonts w:ascii="Times New Roman" w:hAnsi="Times New Roman" w:cs="Times New Roman"/>
          <w:b/>
          <w:sz w:val="28"/>
          <w:szCs w:val="28"/>
          <w:lang w:eastAsia="ru-RU"/>
        </w:rPr>
        <w:t>4. Субсидия из бюджета Республики Карелия местному бюджету на развитие сети учреждений культурно-досугового типа,  выделено:</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МБУК «КДЦ Суоярвского муниципального округа» (п.Лахколампи, ул. Клубная, д.1) проведение капитального ремонта здания – 15 232 532,34   руб.</w:t>
      </w:r>
    </w:p>
    <w:p w:rsidR="00D1614C" w:rsidRPr="00D1614C" w:rsidRDefault="00D1614C" w:rsidP="00D1614C">
      <w:pPr>
        <w:pStyle w:val="ad"/>
        <w:ind w:firstLine="567"/>
        <w:jc w:val="both"/>
        <w:rPr>
          <w:rFonts w:ascii="Times New Roman" w:hAnsi="Times New Roman" w:cs="Times New Roman"/>
          <w:b/>
          <w:sz w:val="28"/>
          <w:szCs w:val="28"/>
          <w:lang w:eastAsia="ru-RU"/>
        </w:rPr>
      </w:pPr>
      <w:r w:rsidRPr="00D1614C">
        <w:rPr>
          <w:rFonts w:ascii="Times New Roman" w:hAnsi="Times New Roman" w:cs="Times New Roman"/>
          <w:b/>
          <w:sz w:val="28"/>
          <w:szCs w:val="28"/>
          <w:lang w:eastAsia="ru-RU"/>
        </w:rPr>
        <w:t>5. Строительный контроль и авторский надзор при проведении работ по ремонту зданий всего на сумму 2 670 204,02 руб. из них:</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 МОУ ДО «Детская школа искусств»  - 2 089 982, 02  руб.</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 МБУК «КДЦ Суоярвского муниципального округа»  - 386 890,00 руб.</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 МОУ Найстенъярвская СОШ – 100 392,00 руб.</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 МОУ «Поросозерская СОШ» - 92 940,00 руб.</w:t>
      </w:r>
    </w:p>
    <w:p w:rsidR="00D1614C" w:rsidRPr="00D1614C" w:rsidRDefault="00D1614C" w:rsidP="00D1614C">
      <w:pPr>
        <w:pStyle w:val="ad"/>
        <w:ind w:firstLine="567"/>
        <w:jc w:val="both"/>
        <w:rPr>
          <w:rFonts w:ascii="Times New Roman" w:hAnsi="Times New Roman" w:cs="Times New Roman"/>
          <w:b/>
          <w:sz w:val="28"/>
          <w:szCs w:val="28"/>
          <w:lang w:eastAsia="ru-RU"/>
        </w:rPr>
      </w:pPr>
      <w:r w:rsidRPr="00D1614C">
        <w:rPr>
          <w:rFonts w:ascii="Times New Roman" w:hAnsi="Times New Roman" w:cs="Times New Roman"/>
          <w:sz w:val="28"/>
          <w:szCs w:val="28"/>
          <w:lang w:eastAsia="ru-RU"/>
        </w:rPr>
        <w:t>6</w:t>
      </w:r>
      <w:r w:rsidRPr="00D1614C">
        <w:rPr>
          <w:rFonts w:ascii="Times New Roman" w:hAnsi="Times New Roman" w:cs="Times New Roman"/>
          <w:b/>
          <w:sz w:val="28"/>
          <w:szCs w:val="28"/>
          <w:lang w:eastAsia="ru-RU"/>
        </w:rPr>
        <w:t>. Субсидия на развитие и укрепление материально-технической базы домов культуры в населенных пунктах с числом жителей до 50 тыс. человек:</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 МБУК «Культурно-досуговый центр Суоярвского муниципального округа» (пос. Лахколампи), приобретение звукового оборудования – 503 770,74 руб.</w:t>
      </w:r>
    </w:p>
    <w:p w:rsidR="00D1614C" w:rsidRPr="00D1614C" w:rsidRDefault="00D1614C" w:rsidP="00D1614C">
      <w:pPr>
        <w:pStyle w:val="ad"/>
        <w:ind w:firstLine="567"/>
        <w:jc w:val="both"/>
        <w:rPr>
          <w:rFonts w:ascii="Times New Roman" w:hAnsi="Times New Roman" w:cs="Times New Roman"/>
          <w:b/>
          <w:sz w:val="28"/>
          <w:szCs w:val="28"/>
          <w:lang w:eastAsia="ru-RU"/>
        </w:rPr>
      </w:pPr>
      <w:r w:rsidRPr="00D1614C">
        <w:rPr>
          <w:rFonts w:ascii="Times New Roman" w:hAnsi="Times New Roman" w:cs="Times New Roman"/>
          <w:b/>
          <w:sz w:val="28"/>
          <w:szCs w:val="28"/>
          <w:lang w:eastAsia="ru-RU"/>
        </w:rPr>
        <w:t>7. Субсидия на создание виртуальных концертных залов в 2024 году:</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 МУК «Суоярвская ЦБС» (г. Суоярви, ул Ленина, 33) приобретение оборудования для виртуального концертного зала – 612 182,43</w:t>
      </w:r>
      <w:r w:rsidRPr="00D1614C">
        <w:rPr>
          <w:rFonts w:ascii="Times New Roman" w:hAnsi="Times New Roman" w:cs="Times New Roman"/>
          <w:sz w:val="28"/>
          <w:szCs w:val="28"/>
          <w:lang w:eastAsia="ru-RU"/>
        </w:rPr>
        <w:tab/>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 xml:space="preserve">Также, Суоярвский муниципальный округ является активным  участником в реализации проектов инициативного бюджетирования, что позволяет привлечь дополнительное финансирование на благоустройство территории округа. </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На территории Суоярвского муниципального округа в 2024 году в рамках программы  Формирование комфортной городской среды было благоустроено 2 общественных и 2 дворовых территории в г. Суоярви. Общая сумма субсидии составила более 4,9 млн. руб.</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В рамках программы комплексного развития сельских территорий была благоустроена 1 территория в округе (установка закрытой контейнерной площадки в п. Леппясюрья) на сумму 366,9 тыс. руб.</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Основными инвесторами в сфере обрабатывающей промышленности являются АО «Запкареллес»,  ООО «Форест Тревел», ООО «ФИНАНСБЮРО».</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По видам основных фондов инвестиции направляются преимущественно на строительство (реконструкцию, капитальный ремонт) зданий (кроме жилых) и сооружений, а также на приобретение машин и оборудования.</w:t>
      </w:r>
    </w:p>
    <w:p w:rsidR="00D1614C" w:rsidRPr="00D1614C" w:rsidRDefault="00D1614C" w:rsidP="00D1614C">
      <w:pPr>
        <w:pStyle w:val="ad"/>
        <w:ind w:firstLine="567"/>
        <w:jc w:val="both"/>
        <w:rPr>
          <w:rFonts w:ascii="Times New Roman" w:hAnsi="Times New Roman" w:cs="Times New Roman"/>
          <w:sz w:val="28"/>
          <w:szCs w:val="28"/>
          <w:lang w:eastAsia="ru-RU"/>
        </w:rPr>
      </w:pPr>
    </w:p>
    <w:p w:rsidR="00D1614C" w:rsidRPr="00D1614C" w:rsidRDefault="00D1614C" w:rsidP="00D1614C">
      <w:pPr>
        <w:pStyle w:val="ad"/>
        <w:ind w:firstLine="567"/>
        <w:jc w:val="center"/>
        <w:rPr>
          <w:rFonts w:ascii="Times New Roman" w:hAnsi="Times New Roman" w:cs="Times New Roman"/>
          <w:b/>
          <w:sz w:val="28"/>
          <w:szCs w:val="28"/>
          <w:lang w:eastAsia="ru-RU"/>
        </w:rPr>
      </w:pPr>
      <w:r w:rsidRPr="00D1614C">
        <w:rPr>
          <w:rFonts w:ascii="Times New Roman" w:hAnsi="Times New Roman" w:cs="Times New Roman"/>
          <w:b/>
          <w:sz w:val="28"/>
          <w:szCs w:val="28"/>
          <w:lang w:eastAsia="ru-RU"/>
        </w:rPr>
        <w:t>Табл. 2.  Структура инвестиций в основной капитал</w:t>
      </w:r>
    </w:p>
    <w:p w:rsidR="00D1614C" w:rsidRPr="00D1614C" w:rsidRDefault="00D1614C" w:rsidP="00D1614C">
      <w:pPr>
        <w:pStyle w:val="ad"/>
        <w:ind w:firstLine="567"/>
        <w:jc w:val="center"/>
        <w:rPr>
          <w:rFonts w:ascii="Times New Roman" w:hAnsi="Times New Roman" w:cs="Times New Roman"/>
          <w:b/>
          <w:sz w:val="28"/>
          <w:szCs w:val="28"/>
          <w:lang w:eastAsia="ru-RU"/>
        </w:rPr>
      </w:pPr>
      <w:r w:rsidRPr="00D1614C">
        <w:rPr>
          <w:rFonts w:ascii="Times New Roman" w:hAnsi="Times New Roman" w:cs="Times New Roman"/>
          <w:b/>
          <w:sz w:val="28"/>
          <w:szCs w:val="28"/>
          <w:lang w:eastAsia="ru-RU"/>
        </w:rPr>
        <w:t>по видам основных фондов</w:t>
      </w:r>
    </w:p>
    <w:p w:rsidR="00D1614C" w:rsidRPr="00D1614C" w:rsidRDefault="00D1614C" w:rsidP="00D1614C">
      <w:pPr>
        <w:pStyle w:val="ad"/>
        <w:ind w:firstLine="567"/>
        <w:jc w:val="both"/>
        <w:rPr>
          <w:rFonts w:ascii="Times New Roman" w:hAnsi="Times New Roman" w:cs="Times New Roman"/>
          <w:sz w:val="28"/>
          <w:szCs w:val="28"/>
          <w:lang w:eastAsia="ru-RU"/>
        </w:rPr>
      </w:pP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3"/>
        <w:gridCol w:w="1808"/>
        <w:gridCol w:w="1842"/>
        <w:gridCol w:w="2127"/>
      </w:tblGrid>
      <w:tr w:rsidR="00D1614C" w:rsidRPr="00D1614C" w:rsidTr="004A02AC">
        <w:trPr>
          <w:tblHeader/>
          <w:jc w:val="center"/>
        </w:trPr>
        <w:tc>
          <w:tcPr>
            <w:tcW w:w="3983" w:type="dxa"/>
            <w:tcBorders>
              <w:top w:val="single" w:sz="4" w:space="0" w:color="auto"/>
              <w:left w:val="single" w:sz="4" w:space="0" w:color="auto"/>
              <w:bottom w:val="single" w:sz="4" w:space="0" w:color="auto"/>
              <w:right w:val="single" w:sz="4" w:space="0" w:color="auto"/>
            </w:tcBorders>
            <w:vAlign w:val="center"/>
          </w:tcPr>
          <w:p w:rsidR="00D1614C" w:rsidRPr="00D1614C" w:rsidRDefault="00D1614C" w:rsidP="00D1614C">
            <w:pPr>
              <w:pStyle w:val="ad"/>
              <w:ind w:firstLine="567"/>
              <w:jc w:val="center"/>
              <w:rPr>
                <w:rFonts w:ascii="Times New Roman" w:hAnsi="Times New Roman" w:cs="Times New Roman"/>
                <w:b/>
                <w:sz w:val="24"/>
                <w:szCs w:val="24"/>
                <w:lang w:eastAsia="ru-RU"/>
              </w:rPr>
            </w:pPr>
            <w:r w:rsidRPr="00D1614C">
              <w:rPr>
                <w:rFonts w:ascii="Times New Roman" w:hAnsi="Times New Roman" w:cs="Times New Roman"/>
                <w:b/>
                <w:sz w:val="24"/>
                <w:szCs w:val="24"/>
                <w:lang w:eastAsia="ru-RU"/>
              </w:rPr>
              <w:lastRenderedPageBreak/>
              <w:t>Показатели</w:t>
            </w:r>
          </w:p>
          <w:p w:rsidR="00D1614C" w:rsidRPr="00D1614C" w:rsidRDefault="00D1614C" w:rsidP="00D1614C">
            <w:pPr>
              <w:pStyle w:val="ad"/>
              <w:ind w:firstLine="567"/>
              <w:jc w:val="center"/>
              <w:rPr>
                <w:rFonts w:ascii="Times New Roman" w:hAnsi="Times New Roman" w:cs="Times New Roman"/>
                <w:sz w:val="24"/>
                <w:szCs w:val="24"/>
                <w:lang w:eastAsia="ru-RU"/>
              </w:rPr>
            </w:pPr>
            <w:r w:rsidRPr="00D1614C">
              <w:rPr>
                <w:rFonts w:ascii="Times New Roman" w:hAnsi="Times New Roman" w:cs="Times New Roman"/>
                <w:b/>
                <w:sz w:val="24"/>
                <w:szCs w:val="24"/>
                <w:lang w:eastAsia="ru-RU"/>
              </w:rPr>
              <w:t>на конец года</w:t>
            </w:r>
          </w:p>
        </w:tc>
        <w:tc>
          <w:tcPr>
            <w:tcW w:w="1808" w:type="dxa"/>
            <w:tcBorders>
              <w:top w:val="single" w:sz="4" w:space="0" w:color="auto"/>
              <w:left w:val="single" w:sz="4" w:space="0" w:color="auto"/>
              <w:bottom w:val="single" w:sz="4" w:space="0" w:color="auto"/>
              <w:right w:val="single" w:sz="4" w:space="0" w:color="auto"/>
            </w:tcBorders>
            <w:vAlign w:val="center"/>
          </w:tcPr>
          <w:p w:rsidR="00D1614C" w:rsidRPr="00D1614C" w:rsidRDefault="00D1614C" w:rsidP="00D1614C">
            <w:pPr>
              <w:pStyle w:val="ad"/>
              <w:ind w:firstLine="15"/>
              <w:jc w:val="both"/>
              <w:rPr>
                <w:rFonts w:ascii="Times New Roman" w:hAnsi="Times New Roman" w:cs="Times New Roman"/>
                <w:b/>
                <w:sz w:val="24"/>
                <w:szCs w:val="24"/>
                <w:lang w:eastAsia="ru-RU"/>
              </w:rPr>
            </w:pPr>
            <w:r w:rsidRPr="00D1614C">
              <w:rPr>
                <w:rFonts w:ascii="Times New Roman" w:hAnsi="Times New Roman" w:cs="Times New Roman"/>
                <w:b/>
                <w:sz w:val="24"/>
                <w:szCs w:val="24"/>
                <w:lang w:eastAsia="ru-RU"/>
              </w:rPr>
              <w:t>Здания (кроме жилых) и сооружения</w:t>
            </w:r>
          </w:p>
        </w:tc>
        <w:tc>
          <w:tcPr>
            <w:tcW w:w="1842" w:type="dxa"/>
            <w:tcBorders>
              <w:top w:val="single" w:sz="4" w:space="0" w:color="auto"/>
              <w:left w:val="single" w:sz="4" w:space="0" w:color="auto"/>
              <w:bottom w:val="single" w:sz="4" w:space="0" w:color="auto"/>
              <w:right w:val="single" w:sz="4" w:space="0" w:color="auto"/>
            </w:tcBorders>
            <w:vAlign w:val="center"/>
          </w:tcPr>
          <w:p w:rsidR="00D1614C" w:rsidRPr="00D1614C" w:rsidRDefault="00D1614C" w:rsidP="00D1614C">
            <w:pPr>
              <w:pStyle w:val="ad"/>
              <w:jc w:val="both"/>
              <w:rPr>
                <w:rFonts w:ascii="Times New Roman" w:hAnsi="Times New Roman" w:cs="Times New Roman"/>
                <w:b/>
                <w:sz w:val="24"/>
                <w:szCs w:val="24"/>
                <w:lang w:eastAsia="ru-RU"/>
              </w:rPr>
            </w:pPr>
            <w:r w:rsidRPr="00D1614C">
              <w:rPr>
                <w:rFonts w:ascii="Times New Roman" w:hAnsi="Times New Roman" w:cs="Times New Roman"/>
                <w:b/>
                <w:sz w:val="24"/>
                <w:szCs w:val="24"/>
                <w:lang w:eastAsia="ru-RU"/>
              </w:rPr>
              <w:t>Машины и оборудование</w:t>
            </w:r>
          </w:p>
        </w:tc>
        <w:tc>
          <w:tcPr>
            <w:tcW w:w="2127" w:type="dxa"/>
            <w:tcBorders>
              <w:top w:val="single" w:sz="4" w:space="0" w:color="auto"/>
              <w:left w:val="single" w:sz="4" w:space="0" w:color="auto"/>
              <w:bottom w:val="single" w:sz="4" w:space="0" w:color="auto"/>
              <w:right w:val="single" w:sz="4" w:space="0" w:color="auto"/>
            </w:tcBorders>
            <w:vAlign w:val="center"/>
          </w:tcPr>
          <w:p w:rsidR="00D1614C" w:rsidRPr="00D1614C" w:rsidRDefault="00D1614C" w:rsidP="00D1614C">
            <w:pPr>
              <w:pStyle w:val="ad"/>
              <w:jc w:val="both"/>
              <w:rPr>
                <w:rFonts w:ascii="Times New Roman" w:hAnsi="Times New Roman" w:cs="Times New Roman"/>
                <w:b/>
                <w:sz w:val="24"/>
                <w:szCs w:val="24"/>
                <w:lang w:eastAsia="ru-RU"/>
              </w:rPr>
            </w:pPr>
            <w:r w:rsidRPr="00D1614C">
              <w:rPr>
                <w:rFonts w:ascii="Times New Roman" w:hAnsi="Times New Roman" w:cs="Times New Roman"/>
                <w:b/>
                <w:sz w:val="24"/>
                <w:szCs w:val="24"/>
                <w:lang w:eastAsia="ru-RU"/>
              </w:rPr>
              <w:t>Прочие инвестиции</w:t>
            </w:r>
          </w:p>
        </w:tc>
      </w:tr>
      <w:tr w:rsidR="00D1614C" w:rsidRPr="00D1614C" w:rsidTr="004A02AC">
        <w:trPr>
          <w:jc w:val="center"/>
        </w:trPr>
        <w:tc>
          <w:tcPr>
            <w:tcW w:w="3983" w:type="dxa"/>
            <w:tcBorders>
              <w:top w:val="single" w:sz="4" w:space="0" w:color="auto"/>
              <w:left w:val="single" w:sz="4" w:space="0" w:color="auto"/>
              <w:bottom w:val="single" w:sz="4" w:space="0" w:color="auto"/>
              <w:right w:val="single" w:sz="4" w:space="0" w:color="auto"/>
            </w:tcBorders>
            <w:vAlign w:val="center"/>
          </w:tcPr>
          <w:p w:rsidR="00D1614C" w:rsidRPr="00D1614C" w:rsidRDefault="00D1614C" w:rsidP="00D1614C">
            <w:pPr>
              <w:pStyle w:val="ad"/>
              <w:ind w:firstLine="567"/>
              <w:jc w:val="both"/>
              <w:rPr>
                <w:rFonts w:ascii="Times New Roman" w:hAnsi="Times New Roman" w:cs="Times New Roman"/>
                <w:b/>
                <w:sz w:val="24"/>
                <w:szCs w:val="24"/>
                <w:lang w:eastAsia="ru-RU"/>
              </w:rPr>
            </w:pPr>
            <w:r w:rsidRPr="00D1614C">
              <w:rPr>
                <w:rFonts w:ascii="Times New Roman" w:hAnsi="Times New Roman" w:cs="Times New Roman"/>
                <w:b/>
                <w:sz w:val="24"/>
                <w:szCs w:val="24"/>
                <w:lang w:eastAsia="ru-RU"/>
              </w:rPr>
              <w:t>2023 год</w:t>
            </w:r>
          </w:p>
        </w:tc>
        <w:tc>
          <w:tcPr>
            <w:tcW w:w="1808" w:type="dxa"/>
            <w:tcBorders>
              <w:top w:val="single" w:sz="4" w:space="0" w:color="auto"/>
              <w:left w:val="single" w:sz="4" w:space="0" w:color="auto"/>
              <w:bottom w:val="single" w:sz="4" w:space="0" w:color="auto"/>
              <w:right w:val="single" w:sz="4" w:space="0" w:color="auto"/>
            </w:tcBorders>
            <w:vAlign w:val="center"/>
          </w:tcPr>
          <w:p w:rsidR="00D1614C" w:rsidRPr="00D1614C" w:rsidRDefault="00D1614C" w:rsidP="00D1614C">
            <w:pPr>
              <w:pStyle w:val="ad"/>
              <w:ind w:firstLine="567"/>
              <w:jc w:val="both"/>
              <w:rPr>
                <w:rFonts w:ascii="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D1614C" w:rsidRPr="00D1614C" w:rsidRDefault="00D1614C" w:rsidP="00D1614C">
            <w:pPr>
              <w:pStyle w:val="ad"/>
              <w:ind w:firstLine="567"/>
              <w:jc w:val="both"/>
              <w:rPr>
                <w:rFonts w:ascii="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vAlign w:val="center"/>
          </w:tcPr>
          <w:p w:rsidR="00D1614C" w:rsidRPr="00D1614C" w:rsidRDefault="00D1614C" w:rsidP="00D1614C">
            <w:pPr>
              <w:pStyle w:val="ad"/>
              <w:ind w:firstLine="567"/>
              <w:jc w:val="both"/>
              <w:rPr>
                <w:rFonts w:ascii="Times New Roman" w:hAnsi="Times New Roman" w:cs="Times New Roman"/>
                <w:sz w:val="24"/>
                <w:szCs w:val="24"/>
                <w:lang w:eastAsia="ru-RU"/>
              </w:rPr>
            </w:pPr>
          </w:p>
        </w:tc>
      </w:tr>
      <w:tr w:rsidR="00D1614C" w:rsidRPr="00D1614C" w:rsidTr="004A02AC">
        <w:trPr>
          <w:jc w:val="center"/>
        </w:trPr>
        <w:tc>
          <w:tcPr>
            <w:tcW w:w="3983" w:type="dxa"/>
            <w:tcBorders>
              <w:top w:val="single" w:sz="4" w:space="0" w:color="auto"/>
              <w:left w:val="single" w:sz="4" w:space="0" w:color="auto"/>
              <w:bottom w:val="single" w:sz="4" w:space="0" w:color="auto"/>
              <w:right w:val="single" w:sz="4" w:space="0" w:color="auto"/>
            </w:tcBorders>
          </w:tcPr>
          <w:p w:rsidR="00D1614C" w:rsidRPr="00D1614C" w:rsidRDefault="00D1614C" w:rsidP="00D1614C">
            <w:pPr>
              <w:pStyle w:val="ad"/>
              <w:ind w:firstLine="567"/>
              <w:jc w:val="both"/>
              <w:rPr>
                <w:rFonts w:ascii="Times New Roman" w:hAnsi="Times New Roman" w:cs="Times New Roman"/>
                <w:sz w:val="24"/>
                <w:szCs w:val="24"/>
                <w:lang w:eastAsia="ru-RU"/>
              </w:rPr>
            </w:pPr>
            <w:r w:rsidRPr="00D1614C">
              <w:rPr>
                <w:rFonts w:ascii="Times New Roman" w:hAnsi="Times New Roman" w:cs="Times New Roman"/>
                <w:sz w:val="24"/>
                <w:szCs w:val="24"/>
                <w:lang w:eastAsia="ru-RU"/>
              </w:rPr>
              <w:t>Инвестиции в основной капитал по видам основных фондов, тыс.руб.</w:t>
            </w:r>
          </w:p>
        </w:tc>
        <w:tc>
          <w:tcPr>
            <w:tcW w:w="1808" w:type="dxa"/>
            <w:tcBorders>
              <w:top w:val="single" w:sz="4" w:space="0" w:color="auto"/>
              <w:left w:val="single" w:sz="4" w:space="0" w:color="auto"/>
              <w:bottom w:val="single" w:sz="4" w:space="0" w:color="auto"/>
              <w:right w:val="single" w:sz="4" w:space="0" w:color="auto"/>
            </w:tcBorders>
            <w:vAlign w:val="center"/>
          </w:tcPr>
          <w:p w:rsidR="00D1614C" w:rsidRPr="00D1614C" w:rsidRDefault="00D1614C" w:rsidP="00D1614C">
            <w:pPr>
              <w:pStyle w:val="ad"/>
              <w:ind w:firstLine="567"/>
              <w:jc w:val="both"/>
              <w:rPr>
                <w:rFonts w:ascii="Times New Roman" w:hAnsi="Times New Roman" w:cs="Times New Roman"/>
                <w:sz w:val="24"/>
                <w:szCs w:val="24"/>
                <w:lang w:eastAsia="ru-RU"/>
              </w:rPr>
            </w:pPr>
            <w:r w:rsidRPr="00D1614C">
              <w:rPr>
                <w:rFonts w:ascii="Times New Roman" w:hAnsi="Times New Roman" w:cs="Times New Roman"/>
                <w:sz w:val="24"/>
                <w:szCs w:val="24"/>
                <w:lang w:eastAsia="ru-RU"/>
              </w:rPr>
              <w:t>1 432 721,0</w:t>
            </w:r>
          </w:p>
        </w:tc>
        <w:tc>
          <w:tcPr>
            <w:tcW w:w="1842" w:type="dxa"/>
            <w:tcBorders>
              <w:top w:val="single" w:sz="4" w:space="0" w:color="auto"/>
              <w:left w:val="single" w:sz="4" w:space="0" w:color="auto"/>
              <w:bottom w:val="single" w:sz="4" w:space="0" w:color="auto"/>
              <w:right w:val="single" w:sz="4" w:space="0" w:color="auto"/>
            </w:tcBorders>
            <w:vAlign w:val="center"/>
          </w:tcPr>
          <w:p w:rsidR="00D1614C" w:rsidRPr="00D1614C" w:rsidRDefault="00D1614C" w:rsidP="00D1614C">
            <w:pPr>
              <w:pStyle w:val="ad"/>
              <w:ind w:firstLine="567"/>
              <w:jc w:val="both"/>
              <w:rPr>
                <w:rFonts w:ascii="Times New Roman" w:hAnsi="Times New Roman" w:cs="Times New Roman"/>
                <w:sz w:val="24"/>
                <w:szCs w:val="24"/>
                <w:lang w:eastAsia="ru-RU"/>
              </w:rPr>
            </w:pPr>
            <w:r w:rsidRPr="00D1614C">
              <w:rPr>
                <w:rFonts w:ascii="Times New Roman" w:hAnsi="Times New Roman" w:cs="Times New Roman"/>
                <w:sz w:val="24"/>
                <w:szCs w:val="24"/>
                <w:lang w:eastAsia="ru-RU"/>
              </w:rPr>
              <w:t>502 465,0</w:t>
            </w:r>
          </w:p>
        </w:tc>
        <w:tc>
          <w:tcPr>
            <w:tcW w:w="2127" w:type="dxa"/>
            <w:tcBorders>
              <w:top w:val="single" w:sz="4" w:space="0" w:color="auto"/>
              <w:left w:val="single" w:sz="4" w:space="0" w:color="auto"/>
              <w:bottom w:val="single" w:sz="4" w:space="0" w:color="auto"/>
              <w:right w:val="single" w:sz="4" w:space="0" w:color="auto"/>
            </w:tcBorders>
            <w:vAlign w:val="center"/>
          </w:tcPr>
          <w:p w:rsidR="00D1614C" w:rsidRPr="00D1614C" w:rsidRDefault="00D1614C" w:rsidP="00D1614C">
            <w:pPr>
              <w:pStyle w:val="ad"/>
              <w:ind w:firstLine="567"/>
              <w:jc w:val="both"/>
              <w:rPr>
                <w:rFonts w:ascii="Times New Roman" w:hAnsi="Times New Roman" w:cs="Times New Roman"/>
                <w:sz w:val="24"/>
                <w:szCs w:val="24"/>
                <w:lang w:eastAsia="ru-RU"/>
              </w:rPr>
            </w:pPr>
            <w:r w:rsidRPr="00D1614C">
              <w:rPr>
                <w:rFonts w:ascii="Times New Roman" w:hAnsi="Times New Roman" w:cs="Times New Roman"/>
                <w:sz w:val="24"/>
                <w:szCs w:val="24"/>
                <w:lang w:eastAsia="ru-RU"/>
              </w:rPr>
              <w:t>2 873,0</w:t>
            </w:r>
          </w:p>
        </w:tc>
      </w:tr>
      <w:tr w:rsidR="00D1614C" w:rsidRPr="00D1614C" w:rsidTr="004A02AC">
        <w:trPr>
          <w:jc w:val="center"/>
        </w:trPr>
        <w:tc>
          <w:tcPr>
            <w:tcW w:w="3983" w:type="dxa"/>
            <w:tcBorders>
              <w:top w:val="single" w:sz="4" w:space="0" w:color="auto"/>
              <w:left w:val="single" w:sz="4" w:space="0" w:color="auto"/>
              <w:bottom w:val="single" w:sz="4" w:space="0" w:color="auto"/>
              <w:right w:val="single" w:sz="4" w:space="0" w:color="auto"/>
            </w:tcBorders>
          </w:tcPr>
          <w:p w:rsidR="00D1614C" w:rsidRPr="00D1614C" w:rsidRDefault="00D1614C" w:rsidP="00D1614C">
            <w:pPr>
              <w:pStyle w:val="ad"/>
              <w:ind w:firstLine="567"/>
              <w:jc w:val="both"/>
              <w:rPr>
                <w:rFonts w:ascii="Times New Roman" w:hAnsi="Times New Roman" w:cs="Times New Roman"/>
                <w:sz w:val="24"/>
                <w:szCs w:val="24"/>
                <w:lang w:eastAsia="ru-RU"/>
              </w:rPr>
            </w:pPr>
            <w:r w:rsidRPr="00D1614C">
              <w:rPr>
                <w:rFonts w:ascii="Times New Roman" w:hAnsi="Times New Roman" w:cs="Times New Roman"/>
                <w:sz w:val="24"/>
                <w:szCs w:val="24"/>
                <w:lang w:eastAsia="ru-RU"/>
              </w:rPr>
              <w:t>Структура инвестиций по видам основных фондов, в % к общему объему инвестиций</w:t>
            </w:r>
          </w:p>
        </w:tc>
        <w:tc>
          <w:tcPr>
            <w:tcW w:w="1808" w:type="dxa"/>
            <w:tcBorders>
              <w:top w:val="single" w:sz="4" w:space="0" w:color="auto"/>
              <w:left w:val="single" w:sz="4" w:space="0" w:color="auto"/>
              <w:bottom w:val="single" w:sz="4" w:space="0" w:color="auto"/>
              <w:right w:val="single" w:sz="4" w:space="0" w:color="auto"/>
            </w:tcBorders>
            <w:vAlign w:val="center"/>
          </w:tcPr>
          <w:p w:rsidR="00D1614C" w:rsidRPr="00D1614C" w:rsidRDefault="00D1614C" w:rsidP="00D1614C">
            <w:pPr>
              <w:pStyle w:val="ad"/>
              <w:ind w:firstLine="567"/>
              <w:jc w:val="both"/>
              <w:rPr>
                <w:rFonts w:ascii="Times New Roman" w:hAnsi="Times New Roman" w:cs="Times New Roman"/>
                <w:sz w:val="24"/>
                <w:szCs w:val="24"/>
                <w:lang w:eastAsia="ru-RU"/>
              </w:rPr>
            </w:pPr>
            <w:r w:rsidRPr="00D1614C">
              <w:rPr>
                <w:rFonts w:ascii="Times New Roman" w:hAnsi="Times New Roman" w:cs="Times New Roman"/>
                <w:sz w:val="24"/>
                <w:szCs w:val="24"/>
                <w:lang w:eastAsia="ru-RU"/>
              </w:rPr>
              <w:t>61,2</w:t>
            </w:r>
          </w:p>
        </w:tc>
        <w:tc>
          <w:tcPr>
            <w:tcW w:w="1842" w:type="dxa"/>
            <w:tcBorders>
              <w:top w:val="single" w:sz="4" w:space="0" w:color="auto"/>
              <w:left w:val="single" w:sz="4" w:space="0" w:color="auto"/>
              <w:bottom w:val="single" w:sz="4" w:space="0" w:color="auto"/>
              <w:right w:val="single" w:sz="4" w:space="0" w:color="auto"/>
            </w:tcBorders>
            <w:vAlign w:val="center"/>
          </w:tcPr>
          <w:p w:rsidR="00D1614C" w:rsidRPr="00D1614C" w:rsidRDefault="00D1614C" w:rsidP="00D1614C">
            <w:pPr>
              <w:pStyle w:val="ad"/>
              <w:ind w:firstLine="567"/>
              <w:jc w:val="both"/>
              <w:rPr>
                <w:rFonts w:ascii="Times New Roman" w:hAnsi="Times New Roman" w:cs="Times New Roman"/>
                <w:sz w:val="24"/>
                <w:szCs w:val="24"/>
                <w:lang w:eastAsia="ru-RU"/>
              </w:rPr>
            </w:pPr>
            <w:r w:rsidRPr="00D1614C">
              <w:rPr>
                <w:rFonts w:ascii="Times New Roman" w:hAnsi="Times New Roman" w:cs="Times New Roman"/>
                <w:sz w:val="24"/>
                <w:szCs w:val="24"/>
                <w:lang w:eastAsia="ru-RU"/>
              </w:rPr>
              <w:t>21,5</w:t>
            </w:r>
          </w:p>
        </w:tc>
        <w:tc>
          <w:tcPr>
            <w:tcW w:w="2127" w:type="dxa"/>
            <w:tcBorders>
              <w:top w:val="single" w:sz="4" w:space="0" w:color="auto"/>
              <w:left w:val="single" w:sz="4" w:space="0" w:color="auto"/>
              <w:bottom w:val="single" w:sz="4" w:space="0" w:color="auto"/>
              <w:right w:val="single" w:sz="4" w:space="0" w:color="auto"/>
            </w:tcBorders>
            <w:vAlign w:val="center"/>
          </w:tcPr>
          <w:p w:rsidR="00D1614C" w:rsidRPr="00D1614C" w:rsidRDefault="00D1614C" w:rsidP="00D1614C">
            <w:pPr>
              <w:pStyle w:val="ad"/>
              <w:ind w:firstLine="567"/>
              <w:jc w:val="both"/>
              <w:rPr>
                <w:rFonts w:ascii="Times New Roman" w:hAnsi="Times New Roman" w:cs="Times New Roman"/>
                <w:sz w:val="24"/>
                <w:szCs w:val="24"/>
                <w:lang w:eastAsia="ru-RU"/>
              </w:rPr>
            </w:pPr>
            <w:r w:rsidRPr="00D1614C">
              <w:rPr>
                <w:rFonts w:ascii="Times New Roman" w:hAnsi="Times New Roman" w:cs="Times New Roman"/>
                <w:sz w:val="24"/>
                <w:szCs w:val="24"/>
                <w:lang w:eastAsia="ru-RU"/>
              </w:rPr>
              <w:t>0,1</w:t>
            </w:r>
          </w:p>
        </w:tc>
      </w:tr>
      <w:tr w:rsidR="00D1614C" w:rsidRPr="00D1614C" w:rsidTr="004A02AC">
        <w:trPr>
          <w:jc w:val="center"/>
        </w:trPr>
        <w:tc>
          <w:tcPr>
            <w:tcW w:w="3983" w:type="dxa"/>
            <w:tcBorders>
              <w:top w:val="single" w:sz="4" w:space="0" w:color="auto"/>
              <w:left w:val="single" w:sz="4" w:space="0" w:color="auto"/>
              <w:bottom w:val="single" w:sz="4" w:space="0" w:color="auto"/>
              <w:right w:val="single" w:sz="4" w:space="0" w:color="auto"/>
            </w:tcBorders>
          </w:tcPr>
          <w:p w:rsidR="00D1614C" w:rsidRPr="00D1614C" w:rsidRDefault="00D1614C" w:rsidP="00D1614C">
            <w:pPr>
              <w:pStyle w:val="ad"/>
              <w:ind w:firstLine="567"/>
              <w:jc w:val="both"/>
              <w:rPr>
                <w:rFonts w:ascii="Times New Roman" w:hAnsi="Times New Roman" w:cs="Times New Roman"/>
                <w:b/>
                <w:sz w:val="24"/>
                <w:szCs w:val="24"/>
                <w:lang w:eastAsia="ru-RU"/>
              </w:rPr>
            </w:pPr>
            <w:r w:rsidRPr="00D1614C">
              <w:rPr>
                <w:rFonts w:ascii="Times New Roman" w:hAnsi="Times New Roman" w:cs="Times New Roman"/>
                <w:b/>
                <w:sz w:val="24"/>
                <w:szCs w:val="24"/>
                <w:lang w:eastAsia="ru-RU"/>
              </w:rPr>
              <w:t>январь - июнь 2024 года</w:t>
            </w:r>
          </w:p>
        </w:tc>
        <w:tc>
          <w:tcPr>
            <w:tcW w:w="1808" w:type="dxa"/>
            <w:tcBorders>
              <w:top w:val="single" w:sz="4" w:space="0" w:color="auto"/>
              <w:left w:val="single" w:sz="4" w:space="0" w:color="auto"/>
              <w:bottom w:val="single" w:sz="4" w:space="0" w:color="auto"/>
              <w:right w:val="single" w:sz="4" w:space="0" w:color="auto"/>
            </w:tcBorders>
            <w:vAlign w:val="bottom"/>
          </w:tcPr>
          <w:p w:rsidR="00D1614C" w:rsidRPr="00D1614C" w:rsidRDefault="00D1614C" w:rsidP="00D1614C">
            <w:pPr>
              <w:pStyle w:val="ad"/>
              <w:ind w:firstLine="567"/>
              <w:jc w:val="both"/>
              <w:rPr>
                <w:rFonts w:ascii="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bottom"/>
          </w:tcPr>
          <w:p w:rsidR="00D1614C" w:rsidRPr="00D1614C" w:rsidRDefault="00D1614C" w:rsidP="00D1614C">
            <w:pPr>
              <w:pStyle w:val="ad"/>
              <w:ind w:firstLine="567"/>
              <w:jc w:val="both"/>
              <w:rPr>
                <w:rFonts w:ascii="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D1614C" w:rsidRPr="00D1614C" w:rsidRDefault="00D1614C" w:rsidP="00D1614C">
            <w:pPr>
              <w:pStyle w:val="ad"/>
              <w:ind w:firstLine="567"/>
              <w:jc w:val="both"/>
              <w:rPr>
                <w:rFonts w:ascii="Times New Roman" w:hAnsi="Times New Roman" w:cs="Times New Roman"/>
                <w:sz w:val="24"/>
                <w:szCs w:val="24"/>
                <w:lang w:eastAsia="ru-RU"/>
              </w:rPr>
            </w:pPr>
          </w:p>
        </w:tc>
      </w:tr>
      <w:tr w:rsidR="00D1614C" w:rsidRPr="00D1614C" w:rsidTr="004A02AC">
        <w:trPr>
          <w:jc w:val="center"/>
        </w:trPr>
        <w:tc>
          <w:tcPr>
            <w:tcW w:w="3983" w:type="dxa"/>
            <w:tcBorders>
              <w:top w:val="single" w:sz="4" w:space="0" w:color="auto"/>
              <w:left w:val="single" w:sz="4" w:space="0" w:color="auto"/>
              <w:bottom w:val="single" w:sz="4" w:space="0" w:color="auto"/>
              <w:right w:val="single" w:sz="4" w:space="0" w:color="auto"/>
            </w:tcBorders>
          </w:tcPr>
          <w:p w:rsidR="00D1614C" w:rsidRPr="00D1614C" w:rsidRDefault="00D1614C" w:rsidP="00D1614C">
            <w:pPr>
              <w:pStyle w:val="ad"/>
              <w:ind w:firstLine="567"/>
              <w:jc w:val="both"/>
              <w:rPr>
                <w:rFonts w:ascii="Times New Roman" w:hAnsi="Times New Roman" w:cs="Times New Roman"/>
                <w:sz w:val="24"/>
                <w:szCs w:val="24"/>
                <w:lang w:eastAsia="ru-RU"/>
              </w:rPr>
            </w:pPr>
            <w:r w:rsidRPr="00D1614C">
              <w:rPr>
                <w:rFonts w:ascii="Times New Roman" w:hAnsi="Times New Roman" w:cs="Times New Roman"/>
                <w:sz w:val="24"/>
                <w:szCs w:val="24"/>
                <w:lang w:eastAsia="ru-RU"/>
              </w:rPr>
              <w:t>Инвестиции в основной капитал по видам основных фондов, тыс.руб.</w:t>
            </w:r>
          </w:p>
        </w:tc>
        <w:tc>
          <w:tcPr>
            <w:tcW w:w="1808" w:type="dxa"/>
            <w:tcBorders>
              <w:top w:val="single" w:sz="4" w:space="0" w:color="auto"/>
              <w:left w:val="single" w:sz="4" w:space="0" w:color="auto"/>
              <w:bottom w:val="single" w:sz="4" w:space="0" w:color="auto"/>
              <w:right w:val="single" w:sz="4" w:space="0" w:color="auto"/>
            </w:tcBorders>
            <w:vAlign w:val="center"/>
          </w:tcPr>
          <w:p w:rsidR="00D1614C" w:rsidRPr="00D1614C" w:rsidRDefault="00D1614C" w:rsidP="00D1614C">
            <w:pPr>
              <w:pStyle w:val="ad"/>
              <w:ind w:firstLine="567"/>
              <w:jc w:val="both"/>
              <w:rPr>
                <w:rFonts w:ascii="Times New Roman" w:hAnsi="Times New Roman" w:cs="Times New Roman"/>
                <w:sz w:val="24"/>
                <w:szCs w:val="24"/>
                <w:lang w:eastAsia="ru-RU"/>
              </w:rPr>
            </w:pPr>
            <w:r w:rsidRPr="00D1614C">
              <w:rPr>
                <w:rFonts w:ascii="Times New Roman" w:hAnsi="Times New Roman" w:cs="Times New Roman"/>
                <w:sz w:val="24"/>
                <w:szCs w:val="24"/>
                <w:lang w:eastAsia="ru-RU"/>
              </w:rPr>
              <w:t>334 900,0</w:t>
            </w:r>
          </w:p>
        </w:tc>
        <w:tc>
          <w:tcPr>
            <w:tcW w:w="1842" w:type="dxa"/>
            <w:tcBorders>
              <w:top w:val="single" w:sz="4" w:space="0" w:color="auto"/>
              <w:left w:val="single" w:sz="4" w:space="0" w:color="auto"/>
              <w:bottom w:val="single" w:sz="4" w:space="0" w:color="auto"/>
              <w:right w:val="single" w:sz="4" w:space="0" w:color="auto"/>
            </w:tcBorders>
            <w:vAlign w:val="center"/>
          </w:tcPr>
          <w:p w:rsidR="00D1614C" w:rsidRPr="00D1614C" w:rsidRDefault="00D1614C" w:rsidP="00D1614C">
            <w:pPr>
              <w:pStyle w:val="ad"/>
              <w:ind w:firstLine="567"/>
              <w:jc w:val="both"/>
              <w:rPr>
                <w:rFonts w:ascii="Times New Roman" w:hAnsi="Times New Roman" w:cs="Times New Roman"/>
                <w:sz w:val="24"/>
                <w:szCs w:val="24"/>
                <w:lang w:eastAsia="ru-RU"/>
              </w:rPr>
            </w:pPr>
            <w:r w:rsidRPr="00D1614C">
              <w:rPr>
                <w:rFonts w:ascii="Times New Roman" w:hAnsi="Times New Roman" w:cs="Times New Roman"/>
                <w:sz w:val="24"/>
                <w:szCs w:val="24"/>
                <w:lang w:eastAsia="ru-RU"/>
              </w:rPr>
              <w:t>74 380,0</w:t>
            </w:r>
          </w:p>
        </w:tc>
        <w:tc>
          <w:tcPr>
            <w:tcW w:w="2127" w:type="dxa"/>
            <w:tcBorders>
              <w:top w:val="single" w:sz="4" w:space="0" w:color="auto"/>
              <w:left w:val="single" w:sz="4" w:space="0" w:color="auto"/>
              <w:bottom w:val="single" w:sz="4" w:space="0" w:color="auto"/>
              <w:right w:val="single" w:sz="4" w:space="0" w:color="auto"/>
            </w:tcBorders>
            <w:vAlign w:val="center"/>
          </w:tcPr>
          <w:p w:rsidR="00D1614C" w:rsidRPr="00D1614C" w:rsidRDefault="00D1614C" w:rsidP="00D1614C">
            <w:pPr>
              <w:pStyle w:val="ad"/>
              <w:ind w:firstLine="567"/>
              <w:jc w:val="both"/>
              <w:rPr>
                <w:rFonts w:ascii="Times New Roman" w:hAnsi="Times New Roman" w:cs="Times New Roman"/>
                <w:sz w:val="24"/>
                <w:szCs w:val="24"/>
                <w:lang w:eastAsia="ru-RU"/>
              </w:rPr>
            </w:pPr>
            <w:r w:rsidRPr="00D1614C">
              <w:rPr>
                <w:rFonts w:ascii="Times New Roman" w:hAnsi="Times New Roman" w:cs="Times New Roman"/>
                <w:sz w:val="24"/>
                <w:szCs w:val="24"/>
                <w:lang w:eastAsia="ru-RU"/>
              </w:rPr>
              <w:t>720,0</w:t>
            </w:r>
          </w:p>
        </w:tc>
      </w:tr>
      <w:tr w:rsidR="00D1614C" w:rsidRPr="00D1614C" w:rsidTr="004A02AC">
        <w:trPr>
          <w:jc w:val="center"/>
        </w:trPr>
        <w:tc>
          <w:tcPr>
            <w:tcW w:w="3983" w:type="dxa"/>
            <w:tcBorders>
              <w:top w:val="single" w:sz="4" w:space="0" w:color="auto"/>
              <w:left w:val="single" w:sz="4" w:space="0" w:color="auto"/>
              <w:bottom w:val="single" w:sz="4" w:space="0" w:color="auto"/>
              <w:right w:val="single" w:sz="4" w:space="0" w:color="auto"/>
            </w:tcBorders>
          </w:tcPr>
          <w:p w:rsidR="00D1614C" w:rsidRPr="00D1614C" w:rsidRDefault="00D1614C" w:rsidP="00D1614C">
            <w:pPr>
              <w:pStyle w:val="ad"/>
              <w:ind w:firstLine="567"/>
              <w:jc w:val="both"/>
              <w:rPr>
                <w:rFonts w:ascii="Times New Roman" w:hAnsi="Times New Roman" w:cs="Times New Roman"/>
                <w:sz w:val="24"/>
                <w:szCs w:val="24"/>
                <w:lang w:eastAsia="ru-RU"/>
              </w:rPr>
            </w:pPr>
            <w:r w:rsidRPr="00D1614C">
              <w:rPr>
                <w:rFonts w:ascii="Times New Roman" w:hAnsi="Times New Roman" w:cs="Times New Roman"/>
                <w:sz w:val="24"/>
                <w:szCs w:val="24"/>
                <w:lang w:eastAsia="ru-RU"/>
              </w:rPr>
              <w:t>Структура инвестиций по видам основных фондов, в % к общему объему инвестиций</w:t>
            </w:r>
          </w:p>
        </w:tc>
        <w:tc>
          <w:tcPr>
            <w:tcW w:w="1808" w:type="dxa"/>
            <w:tcBorders>
              <w:top w:val="single" w:sz="4" w:space="0" w:color="auto"/>
              <w:left w:val="single" w:sz="4" w:space="0" w:color="auto"/>
              <w:bottom w:val="single" w:sz="4" w:space="0" w:color="auto"/>
              <w:right w:val="single" w:sz="4" w:space="0" w:color="auto"/>
            </w:tcBorders>
            <w:vAlign w:val="center"/>
          </w:tcPr>
          <w:p w:rsidR="00D1614C" w:rsidRPr="00D1614C" w:rsidRDefault="00D1614C" w:rsidP="00D1614C">
            <w:pPr>
              <w:pStyle w:val="ad"/>
              <w:ind w:firstLine="567"/>
              <w:jc w:val="both"/>
              <w:rPr>
                <w:rFonts w:ascii="Times New Roman" w:hAnsi="Times New Roman" w:cs="Times New Roman"/>
                <w:sz w:val="24"/>
                <w:szCs w:val="24"/>
                <w:lang w:eastAsia="ru-RU"/>
              </w:rPr>
            </w:pPr>
            <w:r w:rsidRPr="00D1614C">
              <w:rPr>
                <w:rFonts w:ascii="Times New Roman" w:hAnsi="Times New Roman" w:cs="Times New Roman"/>
                <w:sz w:val="24"/>
                <w:szCs w:val="24"/>
                <w:lang w:eastAsia="ru-RU"/>
              </w:rPr>
              <w:t>81,7</w:t>
            </w:r>
          </w:p>
        </w:tc>
        <w:tc>
          <w:tcPr>
            <w:tcW w:w="1842" w:type="dxa"/>
            <w:tcBorders>
              <w:top w:val="single" w:sz="4" w:space="0" w:color="auto"/>
              <w:left w:val="single" w:sz="4" w:space="0" w:color="auto"/>
              <w:bottom w:val="single" w:sz="4" w:space="0" w:color="auto"/>
              <w:right w:val="single" w:sz="4" w:space="0" w:color="auto"/>
            </w:tcBorders>
            <w:vAlign w:val="center"/>
          </w:tcPr>
          <w:p w:rsidR="00D1614C" w:rsidRPr="00D1614C" w:rsidRDefault="00D1614C" w:rsidP="00D1614C">
            <w:pPr>
              <w:pStyle w:val="ad"/>
              <w:ind w:firstLine="567"/>
              <w:jc w:val="both"/>
              <w:rPr>
                <w:rFonts w:ascii="Times New Roman" w:hAnsi="Times New Roman" w:cs="Times New Roman"/>
                <w:sz w:val="24"/>
                <w:szCs w:val="24"/>
                <w:lang w:eastAsia="ru-RU"/>
              </w:rPr>
            </w:pPr>
            <w:r w:rsidRPr="00D1614C">
              <w:rPr>
                <w:rFonts w:ascii="Times New Roman" w:hAnsi="Times New Roman" w:cs="Times New Roman"/>
                <w:sz w:val="24"/>
                <w:szCs w:val="24"/>
                <w:lang w:eastAsia="ru-RU"/>
              </w:rPr>
              <w:t xml:space="preserve">      18,1</w:t>
            </w:r>
          </w:p>
        </w:tc>
        <w:tc>
          <w:tcPr>
            <w:tcW w:w="2127" w:type="dxa"/>
            <w:tcBorders>
              <w:top w:val="single" w:sz="4" w:space="0" w:color="auto"/>
              <w:left w:val="single" w:sz="4" w:space="0" w:color="auto"/>
              <w:bottom w:val="single" w:sz="4" w:space="0" w:color="auto"/>
              <w:right w:val="single" w:sz="4" w:space="0" w:color="auto"/>
            </w:tcBorders>
            <w:vAlign w:val="center"/>
          </w:tcPr>
          <w:p w:rsidR="00D1614C" w:rsidRPr="00D1614C" w:rsidRDefault="00D1614C" w:rsidP="00D1614C">
            <w:pPr>
              <w:pStyle w:val="ad"/>
              <w:ind w:firstLine="567"/>
              <w:jc w:val="both"/>
              <w:rPr>
                <w:rFonts w:ascii="Times New Roman" w:hAnsi="Times New Roman" w:cs="Times New Roman"/>
                <w:sz w:val="24"/>
                <w:szCs w:val="24"/>
                <w:lang w:eastAsia="ru-RU"/>
              </w:rPr>
            </w:pPr>
            <w:r w:rsidRPr="00D1614C">
              <w:rPr>
                <w:rFonts w:ascii="Times New Roman" w:hAnsi="Times New Roman" w:cs="Times New Roman"/>
                <w:sz w:val="24"/>
                <w:szCs w:val="24"/>
                <w:lang w:eastAsia="ru-RU"/>
              </w:rPr>
              <w:t>0,2</w:t>
            </w:r>
          </w:p>
        </w:tc>
      </w:tr>
    </w:tbl>
    <w:p w:rsidR="00D1614C" w:rsidRPr="00D1614C" w:rsidRDefault="00D1614C" w:rsidP="00D1614C">
      <w:pPr>
        <w:pStyle w:val="ad"/>
        <w:ind w:firstLine="567"/>
        <w:jc w:val="both"/>
        <w:rPr>
          <w:rFonts w:ascii="Times New Roman" w:hAnsi="Times New Roman" w:cs="Times New Roman"/>
          <w:sz w:val="28"/>
          <w:szCs w:val="28"/>
          <w:lang w:eastAsia="ru-RU"/>
        </w:rPr>
      </w:pP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 xml:space="preserve">На территории Суоярвского муниципального округа реализуются следующие инвестиционные проекты: </w:t>
      </w:r>
    </w:p>
    <w:p w:rsidR="00D1614C" w:rsidRPr="00D1614C" w:rsidRDefault="00D1614C" w:rsidP="00D1614C">
      <w:pPr>
        <w:pStyle w:val="ad"/>
        <w:numPr>
          <w:ilvl w:val="0"/>
          <w:numId w:val="5"/>
        </w:numPr>
        <w:ind w:left="0" w:firstLine="567"/>
        <w:jc w:val="both"/>
        <w:rPr>
          <w:rFonts w:ascii="Times New Roman" w:hAnsi="Times New Roman" w:cs="Times New Roman"/>
          <w:b/>
          <w:sz w:val="28"/>
          <w:szCs w:val="28"/>
          <w:lang w:eastAsia="ru-RU"/>
        </w:rPr>
      </w:pPr>
      <w:r w:rsidRPr="00D1614C">
        <w:rPr>
          <w:rFonts w:ascii="Times New Roman" w:hAnsi="Times New Roman" w:cs="Times New Roman"/>
          <w:b/>
          <w:sz w:val="28"/>
          <w:szCs w:val="28"/>
          <w:lang w:eastAsia="ru-RU"/>
        </w:rPr>
        <w:t>ООО «Форест-Тревел», проект «Модернизация производственных мощностей лесопильного завода ООО «Форест-Тревел».</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 xml:space="preserve">Срок реализации проекта - 2021-2024 гг. Заявленный объем капитальных вложений – 191,9 млн рублей, количество рабочих мест — сохранение  и создание не менее 25 новых рабочих мест. </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В июне 2023 года проект признан соответствующим критериям отбора инвестиционных проектов для предоставления государственной поддержки инвестиционной деятельности.</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b/>
          <w:sz w:val="28"/>
          <w:szCs w:val="28"/>
          <w:lang w:eastAsia="ru-RU"/>
        </w:rPr>
        <w:t>2. АО «Запкареллес», проект по обновлению основных средств</w:t>
      </w:r>
      <w:r w:rsidRPr="00D1614C">
        <w:rPr>
          <w:rFonts w:ascii="Times New Roman" w:hAnsi="Times New Roman" w:cs="Times New Roman"/>
          <w:sz w:val="28"/>
          <w:szCs w:val="28"/>
          <w:lang w:eastAsia="ru-RU"/>
        </w:rPr>
        <w:t>.</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В целях увеличения объема производства предприятием была приобретена лесозаготовительная техника, а именно вагон-дом на прицепе (2 шт.), пескоразбрасывающее оборудование (1 шт.), пресс для обжига шлангов (1 шт.), шиномонтажный станок для грузовых автомобилей (1 шт.), автомобиль МАЗ (тягач; 1 шт.).</w:t>
      </w:r>
    </w:p>
    <w:p w:rsidR="00D1614C" w:rsidRPr="00D1614C" w:rsidRDefault="00D1614C" w:rsidP="00D1614C">
      <w:pPr>
        <w:pStyle w:val="ad"/>
        <w:ind w:firstLine="567"/>
        <w:jc w:val="both"/>
        <w:rPr>
          <w:rFonts w:ascii="Times New Roman" w:hAnsi="Times New Roman" w:cs="Times New Roman"/>
          <w:sz w:val="28"/>
          <w:szCs w:val="28"/>
          <w:lang w:eastAsia="ru-RU"/>
        </w:rPr>
      </w:pP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 xml:space="preserve">Планируемые к реализации инвестиционные проекты: </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 2024-2026 годы ООО «Карелагропоника» - организация тепличного хозяйства, стоимость проекта 120 млн. рублей.</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 xml:space="preserve">Сегодня на портале «Инвестируй в Карелию» Суоярвский муниципальный округ готов предложить потенциальным инвесторам 14 инвестиционных площадок (в т.ч. 5 для сельскохозяйственного использования, 5 для промышленного производства, 2 социального, 2 коммунально-бытового назначения). </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АО «Корпорацией развития Республики Карелия» подготовлено и размещено на Инвестиционном портале Республики Карелия одно инвестиционное предложение «Реализация инвестиционных проектов в сфере агропромышленного комплекса на территории Суоярвского округа».</w:t>
      </w:r>
    </w:p>
    <w:p w:rsidR="00D1614C" w:rsidRPr="00D1614C" w:rsidRDefault="00D1614C" w:rsidP="00D1614C">
      <w:pPr>
        <w:pStyle w:val="ad"/>
        <w:ind w:firstLine="567"/>
        <w:jc w:val="both"/>
        <w:rPr>
          <w:rFonts w:ascii="Times New Roman" w:hAnsi="Times New Roman" w:cs="Times New Roman"/>
          <w:sz w:val="28"/>
          <w:szCs w:val="28"/>
          <w:lang w:eastAsia="ru-RU"/>
        </w:rPr>
      </w:pP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lastRenderedPageBreak/>
        <w:t xml:space="preserve">Важным направлением формирования благоприятной инвестиционной среды округа является обеспечение открытости, доступности и полноты информации для инвесторов. </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 xml:space="preserve">На официальном интернет - портале Суоярвского муниципального округа сформирован раздел «Инвестиционный портал»,  который обеспечивает наглядное представление инвестиционных возможностей муниципального образования, основные направления привлечения инвестиций в экономику, а также отражение состояние инфраструктуры, которая позволяет наладить оперативный контакт с инвесторами. </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Регулярно актуализируется и размещается на Официальном интернет – портале Суоярвского муниципального округа Инвестиционный паспорт Суоярвского муниципального округа.</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Благодаря целенаправленным действиям ряда отделов и подведомственных учреждений администрации, в округе созданы необходимые условия для инвестиционной деятельности:</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 постоянно актуализуется </w:t>
      </w:r>
      <w:hyperlink r:id="rId8" w:tooltip="Банк данных" w:history="1">
        <w:r w:rsidRPr="00D1614C">
          <w:rPr>
            <w:rFonts w:ascii="Times New Roman" w:hAnsi="Times New Roman" w:cs="Times New Roman"/>
            <w:sz w:val="28"/>
            <w:szCs w:val="28"/>
            <w:lang w:eastAsia="ru-RU"/>
          </w:rPr>
          <w:t>перечень</w:t>
        </w:r>
      </w:hyperlink>
      <w:r w:rsidRPr="00D1614C">
        <w:rPr>
          <w:rFonts w:ascii="Times New Roman" w:hAnsi="Times New Roman" w:cs="Times New Roman"/>
          <w:sz w:val="28"/>
          <w:szCs w:val="28"/>
          <w:lang w:eastAsia="ru-RU"/>
        </w:rPr>
        <w:t> свободных инвестиционных площадок;</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 создана эффективная система сопровождения инвестиционных проектов;</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 проведена инвентаризация муниципального имущества и земельных участков с целью определения объектов, которые могут быть предоставлены для инвестиционной и предпринимательской деятельности;</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  сформированы паспорта инвестиционных площадок;</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 разработан и утвержден инвестиционный паспорт Суоярвского муниципального округа;</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 xml:space="preserve">- проводятся консультации, семинары для предпринимателей. </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В целях создания эффективного взаимодействия инвесторов с администрацией Суоярвского муниципального округа распоряжением № 147 от 15.03.2024 «</w:t>
      </w:r>
      <w:r w:rsidRPr="00D1614C">
        <w:rPr>
          <w:rFonts w:ascii="Times New Roman" w:hAnsi="Times New Roman" w:cs="Times New Roman"/>
          <w:b/>
          <w:bCs/>
          <w:sz w:val="28"/>
          <w:szCs w:val="28"/>
          <w:lang w:eastAsia="ru-RU"/>
        </w:rPr>
        <w:t xml:space="preserve">О </w:t>
      </w:r>
      <w:r w:rsidRPr="00D1614C">
        <w:rPr>
          <w:rFonts w:ascii="Times New Roman" w:hAnsi="Times New Roman" w:cs="Times New Roman"/>
          <w:sz w:val="28"/>
          <w:szCs w:val="28"/>
          <w:lang w:eastAsia="ru-RU"/>
        </w:rPr>
        <w:t xml:space="preserve">назначении инвестиционного уполномоченного администрации Суоярвского муниципального округа», назначены лица, которые являются инвестиционными уполномоченными Суоярвского муниципального округа.  Также разработано и утверждено Положение об инвестиционном уполномоченном администрации  Суоярвского муниципального округа.  </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Представители малого и среднего бизнеса принимают участие в мероприятиях, где рассказывают о мерах государственной поддержки, о возможностях развития бизнеса и расширении рынков сбыта собственной продукции. За прошедший период 2024 года на территории Суоярвского округа прошло три  Заседания Совета предпринимателей Суоярвского муниципального округа (27.03.2024 – г. Суоярви,  26 июня 2024 г. в п. Лоймола и 26 сентября 2024 г. в п. Найстеньярви).</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Основные направления деятельности администрации для развития инвестиционной привлекательности округа:</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 xml:space="preserve">сотрудничество с АО «Корпорация развития Республики Карелия» по вопросам привлечения инвесторов и сопровождение инвестиционных проектов; </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 xml:space="preserve">предоставление инвесторам муниципальных гарантий, предоставление льготных условий пользования землей и имуществом. </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lastRenderedPageBreak/>
        <w:t>реализация мероприятий по поддержке малого и среднего предпринимательства в рамках муниципальной программы «Развитие и поддержка малого и среднего предпринимательства, а также физических лиц, применяющих специальный налоговый режим «Налог на профессиональный доход» в Суоярвском муниципальном округе»;</w:t>
      </w:r>
    </w:p>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развитие механизмов муниципально-частного партнерства.</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1"/>
        <w:gridCol w:w="643"/>
      </w:tblGrid>
      <w:tr w:rsidR="00D1614C" w:rsidRPr="00D1614C" w:rsidTr="004A02AC">
        <w:trPr>
          <w:tblCellSpacing w:w="15" w:type="dxa"/>
        </w:trPr>
        <w:tc>
          <w:tcPr>
            <w:tcW w:w="0" w:type="auto"/>
            <w:vMerge w:val="restart"/>
            <w:shd w:val="clear" w:color="auto" w:fill="FFFFFF"/>
            <w:vAlign w:val="center"/>
            <w:hideMark/>
          </w:tcPr>
          <w:p w:rsidR="00D1614C" w:rsidRPr="00D1614C" w:rsidRDefault="00D1614C" w:rsidP="00D1614C">
            <w:pPr>
              <w:pStyle w:val="ad"/>
              <w:ind w:firstLine="567"/>
              <w:jc w:val="both"/>
              <w:rPr>
                <w:rFonts w:ascii="Times New Roman" w:hAnsi="Times New Roman" w:cs="Times New Roman"/>
                <w:sz w:val="28"/>
                <w:szCs w:val="28"/>
                <w:lang w:eastAsia="ru-RU"/>
              </w:rPr>
            </w:pPr>
          </w:p>
        </w:tc>
        <w:tc>
          <w:tcPr>
            <w:tcW w:w="0" w:type="auto"/>
            <w:shd w:val="clear" w:color="auto" w:fill="FFFFFF"/>
            <w:vAlign w:val="center"/>
            <w:hideMark/>
          </w:tcPr>
          <w:p w:rsidR="00D1614C" w:rsidRPr="00D1614C" w:rsidRDefault="00D1614C" w:rsidP="00D1614C">
            <w:pPr>
              <w:pStyle w:val="ad"/>
              <w:ind w:firstLine="567"/>
              <w:jc w:val="both"/>
              <w:rPr>
                <w:rFonts w:ascii="Times New Roman" w:hAnsi="Times New Roman" w:cs="Times New Roman"/>
                <w:sz w:val="28"/>
                <w:szCs w:val="28"/>
                <w:lang w:eastAsia="ru-RU"/>
              </w:rPr>
            </w:pPr>
            <w:r w:rsidRPr="00D1614C">
              <w:rPr>
                <w:rFonts w:ascii="Times New Roman" w:hAnsi="Times New Roman" w:cs="Times New Roman"/>
                <w:sz w:val="28"/>
                <w:szCs w:val="28"/>
                <w:lang w:eastAsia="ru-RU"/>
              </w:rPr>
              <w:t xml:space="preserve">       </w:t>
            </w:r>
          </w:p>
        </w:tc>
      </w:tr>
      <w:tr w:rsidR="00D1614C" w:rsidRPr="00D1614C" w:rsidTr="004A02AC">
        <w:trPr>
          <w:gridAfter w:val="1"/>
          <w:trHeight w:val="520"/>
          <w:tblCellSpacing w:w="15" w:type="dxa"/>
        </w:trPr>
        <w:tc>
          <w:tcPr>
            <w:tcW w:w="0" w:type="auto"/>
            <w:vMerge/>
            <w:shd w:val="clear" w:color="auto" w:fill="FFFFFF"/>
            <w:vAlign w:val="center"/>
            <w:hideMark/>
          </w:tcPr>
          <w:p w:rsidR="00D1614C" w:rsidRPr="00D1614C" w:rsidRDefault="00D1614C" w:rsidP="00D1614C">
            <w:pPr>
              <w:pStyle w:val="ad"/>
              <w:ind w:firstLine="567"/>
              <w:jc w:val="both"/>
              <w:rPr>
                <w:rFonts w:ascii="Times New Roman" w:hAnsi="Times New Roman" w:cs="Times New Roman"/>
                <w:sz w:val="28"/>
                <w:szCs w:val="28"/>
                <w:lang w:eastAsia="ru-RU"/>
              </w:rPr>
            </w:pPr>
          </w:p>
        </w:tc>
      </w:tr>
    </w:tbl>
    <w:p w:rsidR="00D1614C" w:rsidRPr="00D1614C" w:rsidRDefault="00D1614C" w:rsidP="00D1614C">
      <w:pPr>
        <w:pStyle w:val="ad"/>
        <w:ind w:firstLine="567"/>
        <w:jc w:val="both"/>
        <w:rPr>
          <w:rFonts w:ascii="Times New Roman" w:hAnsi="Times New Roman" w:cs="Times New Roman"/>
          <w:sz w:val="28"/>
          <w:szCs w:val="28"/>
          <w:lang w:eastAsia="ru-RU"/>
        </w:rPr>
      </w:pPr>
    </w:p>
    <w:p w:rsidR="00D1614C" w:rsidRPr="00D1614C" w:rsidRDefault="00D1614C" w:rsidP="00D1614C">
      <w:pPr>
        <w:pStyle w:val="ad"/>
        <w:ind w:firstLine="567"/>
        <w:jc w:val="both"/>
        <w:rPr>
          <w:rFonts w:ascii="Times New Roman" w:hAnsi="Times New Roman" w:cs="Times New Roman"/>
          <w:sz w:val="28"/>
          <w:szCs w:val="28"/>
          <w:lang w:eastAsia="ru-RU"/>
        </w:rPr>
      </w:pPr>
    </w:p>
    <w:sectPr w:rsidR="00D1614C" w:rsidRPr="00D1614C" w:rsidSect="00292709">
      <w:pgSz w:w="11906" w:h="16838"/>
      <w:pgMar w:top="568"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1F3" w:rsidRDefault="007551F3" w:rsidP="007009A8">
      <w:pPr>
        <w:spacing w:after="0" w:line="240" w:lineRule="auto"/>
      </w:pPr>
      <w:r>
        <w:separator/>
      </w:r>
    </w:p>
  </w:endnote>
  <w:endnote w:type="continuationSeparator" w:id="0">
    <w:p w:rsidR="007551F3" w:rsidRDefault="007551F3" w:rsidP="00700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1F3" w:rsidRDefault="007551F3" w:rsidP="007009A8">
      <w:pPr>
        <w:spacing w:after="0" w:line="240" w:lineRule="auto"/>
      </w:pPr>
      <w:r>
        <w:separator/>
      </w:r>
    </w:p>
  </w:footnote>
  <w:footnote w:type="continuationSeparator" w:id="0">
    <w:p w:rsidR="007551F3" w:rsidRDefault="007551F3" w:rsidP="007009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742BE"/>
    <w:multiLevelType w:val="hybridMultilevel"/>
    <w:tmpl w:val="D7AC9ED8"/>
    <w:lvl w:ilvl="0" w:tplc="F7C010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B8907EB"/>
    <w:multiLevelType w:val="hybridMultilevel"/>
    <w:tmpl w:val="DFC0732E"/>
    <w:lvl w:ilvl="0" w:tplc="71402766">
      <w:start w:val="1"/>
      <w:numFmt w:val="decimal"/>
      <w:lvlText w:val="%1."/>
      <w:lvlJc w:val="left"/>
      <w:pPr>
        <w:ind w:left="1923" w:hanging="12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76A013E"/>
    <w:multiLevelType w:val="multilevel"/>
    <w:tmpl w:val="FFFFFFFF"/>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nsid w:val="7B7D4FCE"/>
    <w:multiLevelType w:val="hybridMultilevel"/>
    <w:tmpl w:val="CABC3B1C"/>
    <w:lvl w:ilvl="0" w:tplc="1E5023FA">
      <w:start w:val="1"/>
      <w:numFmt w:val="decimal"/>
      <w:lvlText w:val="%1)"/>
      <w:lvlJc w:val="left"/>
      <w:pPr>
        <w:ind w:left="1068" w:hanging="360"/>
      </w:pPr>
      <w:rPr>
        <w:rFonts w:hint="default"/>
        <w:i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DFF7A8A"/>
    <w:multiLevelType w:val="hybridMultilevel"/>
    <w:tmpl w:val="B23E6A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1DC"/>
    <w:rsid w:val="0000375B"/>
    <w:rsid w:val="00024028"/>
    <w:rsid w:val="0005232E"/>
    <w:rsid w:val="000C7A9D"/>
    <w:rsid w:val="0011069F"/>
    <w:rsid w:val="00131977"/>
    <w:rsid w:val="001B0FDE"/>
    <w:rsid w:val="00292709"/>
    <w:rsid w:val="002E3B94"/>
    <w:rsid w:val="002E51C7"/>
    <w:rsid w:val="00311F80"/>
    <w:rsid w:val="0035264C"/>
    <w:rsid w:val="00357D48"/>
    <w:rsid w:val="0036404C"/>
    <w:rsid w:val="003B2C01"/>
    <w:rsid w:val="003F1BF0"/>
    <w:rsid w:val="00415B63"/>
    <w:rsid w:val="004255D7"/>
    <w:rsid w:val="00436AE6"/>
    <w:rsid w:val="00451AF7"/>
    <w:rsid w:val="004C0BD8"/>
    <w:rsid w:val="004C747C"/>
    <w:rsid w:val="004D2E9A"/>
    <w:rsid w:val="00521503"/>
    <w:rsid w:val="00552AF7"/>
    <w:rsid w:val="00583F63"/>
    <w:rsid w:val="005B0C02"/>
    <w:rsid w:val="005B6C7B"/>
    <w:rsid w:val="005E0ABC"/>
    <w:rsid w:val="005E6652"/>
    <w:rsid w:val="006172ED"/>
    <w:rsid w:val="006223A9"/>
    <w:rsid w:val="006902B0"/>
    <w:rsid w:val="007009A8"/>
    <w:rsid w:val="00706271"/>
    <w:rsid w:val="007214C4"/>
    <w:rsid w:val="0074440A"/>
    <w:rsid w:val="00744C86"/>
    <w:rsid w:val="007551F3"/>
    <w:rsid w:val="00763A57"/>
    <w:rsid w:val="00770639"/>
    <w:rsid w:val="007A2D27"/>
    <w:rsid w:val="007A352D"/>
    <w:rsid w:val="007C1471"/>
    <w:rsid w:val="007D1E78"/>
    <w:rsid w:val="007E41F2"/>
    <w:rsid w:val="007E4755"/>
    <w:rsid w:val="008337CA"/>
    <w:rsid w:val="008727E0"/>
    <w:rsid w:val="00873DB2"/>
    <w:rsid w:val="00896A12"/>
    <w:rsid w:val="00901AAB"/>
    <w:rsid w:val="00905DD5"/>
    <w:rsid w:val="009A00BE"/>
    <w:rsid w:val="009C5CCE"/>
    <w:rsid w:val="009F1594"/>
    <w:rsid w:val="00A10485"/>
    <w:rsid w:val="00A143AB"/>
    <w:rsid w:val="00A97500"/>
    <w:rsid w:val="00AC45DC"/>
    <w:rsid w:val="00AD3F7B"/>
    <w:rsid w:val="00AF0074"/>
    <w:rsid w:val="00AF4A43"/>
    <w:rsid w:val="00B2236B"/>
    <w:rsid w:val="00B24621"/>
    <w:rsid w:val="00BD11DC"/>
    <w:rsid w:val="00C268B5"/>
    <w:rsid w:val="00C35BF9"/>
    <w:rsid w:val="00C50B12"/>
    <w:rsid w:val="00C60BB7"/>
    <w:rsid w:val="00C70F8F"/>
    <w:rsid w:val="00C93C51"/>
    <w:rsid w:val="00CC0253"/>
    <w:rsid w:val="00CD68B1"/>
    <w:rsid w:val="00CD7D45"/>
    <w:rsid w:val="00D1614C"/>
    <w:rsid w:val="00D47F0C"/>
    <w:rsid w:val="00DB66C1"/>
    <w:rsid w:val="00E25848"/>
    <w:rsid w:val="00E46150"/>
    <w:rsid w:val="00EA04F7"/>
    <w:rsid w:val="00EA7937"/>
    <w:rsid w:val="00EC27CD"/>
    <w:rsid w:val="00ED5801"/>
    <w:rsid w:val="00ED790E"/>
    <w:rsid w:val="00FD2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B8A573-D702-459E-A862-89BFB2E0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7E0"/>
  </w:style>
  <w:style w:type="paragraph" w:styleId="3">
    <w:name w:val="heading 3"/>
    <w:basedOn w:val="a"/>
    <w:link w:val="30"/>
    <w:uiPriority w:val="9"/>
    <w:qFormat/>
    <w:rsid w:val="00744C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744C8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2 Знак Знак Знак Знак,Знак2 Знак Знак Знак1 Знак Знак Знак Знак,Обычный (веб)11 Знак Знак Знак Знак,Обычный (Web) Знак Знак1 Знак Знак Знак Знак,Знак2 Знак Знак1 Знак Знак Знак Знак,Заголовок 3 Знак Знак,Знак2 Знак Знак Знак"/>
    <w:basedOn w:val="a"/>
    <w:uiPriority w:val="99"/>
    <w:unhideWhenUsed/>
    <w:rsid w:val="00BD11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D11DC"/>
    <w:rPr>
      <w:color w:val="0000FF"/>
      <w:u w:val="single"/>
    </w:rPr>
  </w:style>
  <w:style w:type="paragraph" w:styleId="a5">
    <w:name w:val="Balloon Text"/>
    <w:basedOn w:val="a"/>
    <w:link w:val="a6"/>
    <w:uiPriority w:val="99"/>
    <w:semiHidden/>
    <w:unhideWhenUsed/>
    <w:rsid w:val="004D2E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2E9A"/>
    <w:rPr>
      <w:rFonts w:ascii="Tahoma" w:hAnsi="Tahoma" w:cs="Tahoma"/>
      <w:sz w:val="16"/>
      <w:szCs w:val="16"/>
    </w:rPr>
  </w:style>
  <w:style w:type="character" w:customStyle="1" w:styleId="30">
    <w:name w:val="Заголовок 3 Знак"/>
    <w:basedOn w:val="a0"/>
    <w:link w:val="3"/>
    <w:uiPriority w:val="9"/>
    <w:rsid w:val="00744C8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44C86"/>
    <w:rPr>
      <w:rFonts w:asciiTheme="majorHAnsi" w:eastAsiaTheme="majorEastAsia" w:hAnsiTheme="majorHAnsi" w:cstheme="majorBidi"/>
      <w:b/>
      <w:bCs/>
      <w:i/>
      <w:iCs/>
      <w:color w:val="4F81BD" w:themeColor="accent1"/>
    </w:rPr>
  </w:style>
  <w:style w:type="character" w:customStyle="1" w:styleId="Bodytext2">
    <w:name w:val="Body text (2)_"/>
    <w:basedOn w:val="a0"/>
    <w:link w:val="Bodytext20"/>
    <w:rsid w:val="00744C86"/>
    <w:rPr>
      <w:shd w:val="clear" w:color="auto" w:fill="FFFFFF"/>
    </w:rPr>
  </w:style>
  <w:style w:type="paragraph" w:customStyle="1" w:styleId="Bodytext20">
    <w:name w:val="Body text (2)"/>
    <w:basedOn w:val="a"/>
    <w:link w:val="Bodytext2"/>
    <w:rsid w:val="00744C86"/>
    <w:pPr>
      <w:widowControl w:val="0"/>
      <w:shd w:val="clear" w:color="auto" w:fill="FFFFFF"/>
      <w:spacing w:after="0" w:line="241" w:lineRule="exact"/>
      <w:ind w:hanging="420"/>
      <w:jc w:val="center"/>
    </w:pPr>
  </w:style>
  <w:style w:type="paragraph" w:customStyle="1" w:styleId="consplusnormal">
    <w:name w:val="consplusnormal"/>
    <w:basedOn w:val="a"/>
    <w:rsid w:val="00744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7009A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009A8"/>
  </w:style>
  <w:style w:type="paragraph" w:styleId="a9">
    <w:name w:val="footer"/>
    <w:basedOn w:val="a"/>
    <w:link w:val="aa"/>
    <w:uiPriority w:val="99"/>
    <w:semiHidden/>
    <w:unhideWhenUsed/>
    <w:rsid w:val="007009A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009A8"/>
  </w:style>
  <w:style w:type="paragraph" w:styleId="ab">
    <w:name w:val="List Paragraph"/>
    <w:basedOn w:val="a"/>
    <w:link w:val="ac"/>
    <w:uiPriority w:val="34"/>
    <w:qFormat/>
    <w:rsid w:val="007009A8"/>
    <w:pPr>
      <w:ind w:left="720"/>
      <w:contextualSpacing/>
    </w:pPr>
  </w:style>
  <w:style w:type="paragraph" w:styleId="ad">
    <w:name w:val="No Spacing"/>
    <w:uiPriority w:val="1"/>
    <w:qFormat/>
    <w:rsid w:val="007A2D27"/>
    <w:pPr>
      <w:spacing w:after="0" w:line="240" w:lineRule="auto"/>
    </w:pPr>
  </w:style>
  <w:style w:type="paragraph" w:styleId="ae">
    <w:name w:val="Body Text"/>
    <w:basedOn w:val="a"/>
    <w:link w:val="af"/>
    <w:rsid w:val="007A2D27"/>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7A2D27"/>
    <w:rPr>
      <w:rFonts w:ascii="Times New Roman" w:eastAsia="Times New Roman" w:hAnsi="Times New Roman" w:cs="Times New Roman"/>
      <w:sz w:val="24"/>
      <w:szCs w:val="24"/>
      <w:lang w:eastAsia="ru-RU"/>
    </w:rPr>
  </w:style>
  <w:style w:type="character" w:customStyle="1" w:styleId="1">
    <w:name w:val="Основной текст Знак1"/>
    <w:aliases w:val="Body Text Char Знак Знак1,Body Text Char Знак2"/>
    <w:basedOn w:val="a0"/>
    <w:uiPriority w:val="99"/>
    <w:rsid w:val="003B2C01"/>
    <w:rPr>
      <w:rFonts w:ascii="Times New Roman" w:hAnsi="Times New Roman" w:cs="Times New Roman"/>
      <w:color w:val="323232"/>
      <w:shd w:val="clear" w:color="auto" w:fill="FFFFFF"/>
    </w:rPr>
  </w:style>
  <w:style w:type="paragraph" w:styleId="af0">
    <w:name w:val="Body Text Indent"/>
    <w:basedOn w:val="a"/>
    <w:link w:val="af1"/>
    <w:uiPriority w:val="99"/>
    <w:semiHidden/>
    <w:unhideWhenUsed/>
    <w:rsid w:val="00D1614C"/>
    <w:pPr>
      <w:spacing w:after="120"/>
      <w:ind w:left="283"/>
    </w:pPr>
  </w:style>
  <w:style w:type="character" w:customStyle="1" w:styleId="af1">
    <w:name w:val="Основной текст с отступом Знак"/>
    <w:basedOn w:val="a0"/>
    <w:link w:val="af0"/>
    <w:uiPriority w:val="99"/>
    <w:semiHidden/>
    <w:rsid w:val="00D1614C"/>
  </w:style>
  <w:style w:type="character" w:styleId="af2">
    <w:name w:val="Strong"/>
    <w:uiPriority w:val="22"/>
    <w:qFormat/>
    <w:rsid w:val="00D1614C"/>
    <w:rPr>
      <w:b/>
      <w:bCs/>
    </w:rPr>
  </w:style>
  <w:style w:type="character" w:customStyle="1" w:styleId="ac">
    <w:name w:val="Абзац списка Знак"/>
    <w:basedOn w:val="a0"/>
    <w:link w:val="ab"/>
    <w:uiPriority w:val="34"/>
    <w:rsid w:val="00D1614C"/>
  </w:style>
  <w:style w:type="table" w:styleId="af3">
    <w:name w:val="Table Grid"/>
    <w:basedOn w:val="a1"/>
    <w:rsid w:val="00D161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136183">
      <w:bodyDiv w:val="1"/>
      <w:marLeft w:val="0"/>
      <w:marRight w:val="0"/>
      <w:marTop w:val="0"/>
      <w:marBottom w:val="0"/>
      <w:divBdr>
        <w:top w:val="none" w:sz="0" w:space="0" w:color="auto"/>
        <w:left w:val="none" w:sz="0" w:space="0" w:color="auto"/>
        <w:bottom w:val="none" w:sz="0" w:space="0" w:color="auto"/>
        <w:right w:val="none" w:sz="0" w:space="0" w:color="auto"/>
      </w:divBdr>
    </w:div>
    <w:div w:id="576987131">
      <w:bodyDiv w:val="1"/>
      <w:marLeft w:val="0"/>
      <w:marRight w:val="0"/>
      <w:marTop w:val="0"/>
      <w:marBottom w:val="0"/>
      <w:divBdr>
        <w:top w:val="none" w:sz="0" w:space="0" w:color="auto"/>
        <w:left w:val="none" w:sz="0" w:space="0" w:color="auto"/>
        <w:bottom w:val="none" w:sz="0" w:space="0" w:color="auto"/>
        <w:right w:val="none" w:sz="0" w:space="0" w:color="auto"/>
      </w:divBdr>
      <w:divsChild>
        <w:div w:id="224607941">
          <w:marLeft w:val="0"/>
          <w:marRight w:val="0"/>
          <w:marTop w:val="0"/>
          <w:marBottom w:val="0"/>
          <w:divBdr>
            <w:top w:val="none" w:sz="0" w:space="0" w:color="auto"/>
            <w:left w:val="none" w:sz="0" w:space="0" w:color="auto"/>
            <w:bottom w:val="none" w:sz="0" w:space="0" w:color="auto"/>
            <w:right w:val="none" w:sz="0" w:space="0" w:color="auto"/>
          </w:divBdr>
        </w:div>
      </w:divsChild>
    </w:div>
    <w:div w:id="149664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bank_dannih/"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1705</Words>
  <Characters>9720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dc:creator>
  <cp:lastModifiedBy>User</cp:lastModifiedBy>
  <cp:revision>12</cp:revision>
  <cp:lastPrinted>2023-10-19T06:48:00Z</cp:lastPrinted>
  <dcterms:created xsi:type="dcterms:W3CDTF">2024-10-29T11:41:00Z</dcterms:created>
  <dcterms:modified xsi:type="dcterms:W3CDTF">2024-11-18T12:45:00Z</dcterms:modified>
</cp:coreProperties>
</file>